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276" w:lineRule="auto"/>
      </w:pPr>
      <w:r>
        <w:rPr>
          <w:rFonts w:ascii="Arial" w:hAnsi="Arial" w:eastAsia="Arial"/>
          <w:b/>
          <w:i w:val="0"/>
          <w:color w:val="5F666D"/>
          <w:sz w:val="18"/>
        </w:rPr>
        <w:t>STRATEGY BRIEF</w:t>
      </w:r>
    </w:p>
    <w:p>
      <w:pPr>
        <w:spacing w:after="40" w:before="0" w:line="276" w:lineRule="auto"/>
      </w:pPr>
      <w:r>
        <w:rPr>
          <w:rFonts w:ascii="Arial" w:hAnsi="Arial" w:eastAsia="Arial"/>
          <w:b/>
          <w:i w:val="0"/>
          <w:color w:val="1F2328"/>
          <w:sz w:val="40"/>
        </w:rPr>
        <w:t>Nokia: what should the name stand for on a phone?</w:t>
      </w:r>
    </w:p>
    <w:p>
      <w:pPr>
        <w:spacing w:after="200" w:before="0" w:line="276" w:lineRule="auto"/>
      </w:pPr>
      <w:r>
        <w:rPr>
          <w:rFonts w:ascii="Arial" w:hAnsi="Arial" w:eastAsia="Arial"/>
          <w:b w:val="0"/>
          <w:i w:val="0"/>
          <w:color w:val="5F666D"/>
          <w:sz w:val="24"/>
        </w:rPr>
        <w:t>The Nokia phone licence is back with Nokia. Should the name return to UK phones in 2028, and as what?</w:t>
      </w:r>
    </w:p>
    <w:tbl>
      <w:tblPr>
        <w:tblW w:type="auto" w:w="0"/>
        <w:tblLook w:firstColumn="1" w:firstRow="1" w:lastColumn="0" w:lastRow="0" w:noHBand="0" w:noVBand="1" w:val="04A0"/>
        <w:tblBorders>
          <w:top w:val="single" w:sz="4" w:color="D5D9DD"/>
          <w:left w:val="single" w:sz="4" w:color="D5D9DD"/>
          <w:bottom w:val="single" w:sz="4" w:color="D5D9DD"/>
          <w:right w:val="single" w:sz="4" w:color="D5D9DD"/>
          <w:insideH w:val="single" w:sz="4" w:color="D5D9DD"/>
          <w:insideV w:val="single" w:sz="4" w:color="D5D9DD"/>
        </w:tblBorders>
        <w:tblCellMar>
          <w:top w:w="60" w:type="dxa"/>
          <w:left w:w="100" w:type="dxa"/>
          <w:bottom w:w="60" w:type="dxa"/>
          <w:right w:w="100" w:type="dxa"/>
        </w:tblCellMar>
      </w:tblPr>
      <w:tblGrid>
        <w:gridCol w:w="4706"/>
        <w:gridCol w:w="4706"/>
      </w:tblGrid>
      <w:tr>
        <w:tc>
          <w:tcPr>
            <w:tcW w:type="dxa" w:w="4706"/>
            <w:shd w:val="clear" w:color="auto" w:fill="F7F8F9"/>
          </w:tcPr>
          <w:p>
            <w:pPr>
              <w:spacing w:after="0"/>
            </w:pPr>
            <w:r>
              <w:rPr>
                <w:rFonts w:ascii="Arial" w:hAnsi="Arial" w:eastAsia="Arial"/>
                <w:b/>
                <w:i w:val="0"/>
                <w:color w:val="1F2328"/>
                <w:sz w:val="18"/>
              </w:rPr>
              <w:t xml:space="preserve">Client: </w:t>
            </w:r>
            <w:r>
              <w:rPr>
                <w:rFonts w:ascii="Arial" w:hAnsi="Arial" w:eastAsia="Arial"/>
                <w:b w:val="0"/>
                <w:i w:val="0"/>
                <w:color w:val="1F2328"/>
                <w:sz w:val="18"/>
              </w:rPr>
              <w:t>Nokia Corporation, Brand and Licensing</w:t>
            </w:r>
          </w:p>
        </w:tc>
        <w:tc>
          <w:tcPr>
            <w:tcW w:type="dxa" w:w="4706"/>
            <w:shd w:val="clear" w:color="auto" w:fill="F7F8F9"/>
          </w:tcPr>
          <w:p>
            <w:pPr>
              <w:spacing w:after="0"/>
            </w:pPr>
            <w:r>
              <w:rPr>
                <w:rFonts w:ascii="Arial" w:hAnsi="Arial" w:eastAsia="Arial"/>
                <w:b/>
                <w:i w:val="0"/>
                <w:color w:val="1F2328"/>
                <w:sz w:val="18"/>
              </w:rPr>
              <w:t xml:space="preserve">Date: </w:t>
            </w:r>
            <w:r>
              <w:rPr>
                <w:rFonts w:ascii="Arial" w:hAnsi="Arial" w:eastAsia="Arial"/>
                <w:b w:val="0"/>
                <w:i w:val="0"/>
                <w:color w:val="1F2328"/>
                <w:sz w:val="18"/>
              </w:rPr>
              <w:t>October 2026</w:t>
            </w:r>
          </w:p>
        </w:tc>
      </w:tr>
      <w:tr>
        <w:tc>
          <w:tcPr>
            <w:tcW w:type="dxa" w:w="4706"/>
            <w:shd w:val="clear" w:color="auto" w:fill="F7F8F9"/>
          </w:tcPr>
          <w:p>
            <w:pPr>
              <w:spacing w:after="0"/>
            </w:pPr>
            <w:r>
              <w:rPr>
                <w:rFonts w:ascii="Arial" w:hAnsi="Arial" w:eastAsia="Arial"/>
                <w:b/>
                <w:i w:val="0"/>
                <w:color w:val="1F2328"/>
                <w:sz w:val="18"/>
              </w:rPr>
              <w:t xml:space="preserve">Brand: </w:t>
            </w:r>
            <w:r>
              <w:rPr>
                <w:rFonts w:ascii="Arial" w:hAnsi="Arial" w:eastAsia="Arial"/>
                <w:b w:val="0"/>
                <w:i w:val="0"/>
                <w:color w:val="1F2328"/>
                <w:sz w:val="18"/>
              </w:rPr>
              <w:t>Nokia (phones)</w:t>
            </w:r>
          </w:p>
        </w:tc>
        <w:tc>
          <w:tcPr>
            <w:tcW w:type="dxa" w:w="4706"/>
            <w:shd w:val="clear" w:color="auto" w:fill="F7F8F9"/>
          </w:tcPr>
          <w:p>
            <w:pPr>
              <w:spacing w:after="0"/>
            </w:pPr>
            <w:r>
              <w:rPr>
                <w:rFonts w:ascii="Arial" w:hAnsi="Arial" w:eastAsia="Arial"/>
                <w:b/>
                <w:i w:val="0"/>
                <w:color w:val="1F2328"/>
                <w:sz w:val="18"/>
              </w:rPr>
              <w:t xml:space="preserve">Scope: </w:t>
            </w:r>
            <w:r>
              <w:rPr>
                <w:rFonts w:ascii="Arial" w:hAnsi="Arial" w:eastAsia="Arial"/>
                <w:b w:val="0"/>
                <w:i w:val="0"/>
                <w:color w:val="1F2328"/>
                <w:sz w:val="18"/>
              </w:rPr>
              <w:t>Brand positioning (go or no-go) for a 2028 UK phone return</w:t>
            </w:r>
          </w:p>
        </w:tc>
      </w:tr>
      <w:tr>
        <w:tc>
          <w:tcPr>
            <w:tcW w:type="dxa" w:w="4706"/>
            <w:shd w:val="clear" w:color="auto" w:fill="F7F8F9"/>
          </w:tcPr>
          <w:p>
            <w:pPr>
              <w:spacing w:after="0"/>
            </w:pPr>
            <w:r>
              <w:rPr>
                <w:rFonts w:ascii="Arial" w:hAnsi="Arial" w:eastAsia="Arial"/>
                <w:b/>
                <w:i w:val="0"/>
                <w:color w:val="1F2328"/>
                <w:sz w:val="18"/>
              </w:rPr>
              <w:t xml:space="preserve">Market: </w:t>
            </w:r>
            <w:r>
              <w:rPr>
                <w:rFonts w:ascii="Arial" w:hAnsi="Arial" w:eastAsia="Arial"/>
                <w:b w:val="0"/>
                <w:i w:val="0"/>
                <w:color w:val="1F2328"/>
                <w:sz w:val="18"/>
              </w:rPr>
              <w:t>United Kingdom</w:t>
            </w:r>
          </w:p>
        </w:tc>
        <w:tc>
          <w:tcPr>
            <w:tcW w:type="dxa" w:w="4706"/>
            <w:shd w:val="clear" w:color="auto" w:fill="F7F8F9"/>
          </w:tcPr>
          <w:p>
            <w:pPr>
              <w:spacing w:after="0"/>
            </w:pPr>
            <w:r>
              <w:rPr>
                <w:rFonts w:ascii="Arial" w:hAnsi="Arial" w:eastAsia="Arial"/>
                <w:b/>
                <w:i w:val="0"/>
                <w:color w:val="1F2328"/>
                <w:sz w:val="18"/>
              </w:rPr>
              <w:t xml:space="preserve">Decision owner: </w:t>
            </w:r>
            <w:r>
              <w:rPr>
                <w:rFonts w:ascii="Arial" w:hAnsi="Arial" w:eastAsia="Arial"/>
                <w:b w:val="0"/>
                <w:i w:val="0"/>
                <w:color w:val="1F2328"/>
                <w:sz w:val="18"/>
              </w:rPr>
              <w:t>Chief Marketing Officer and Head of Brand Licensing</w:t>
            </w:r>
          </w:p>
        </w:tc>
      </w:tr>
    </w:tbl>
    <w:p>
      <w:pPr>
        <w:spacing w:after="80" w:before="0" w:line="276" w:lineRule="auto"/>
      </w:pPr>
    </w:p>
    <w:p>
      <w:pPr>
        <w:spacing w:after="80" w:before="240" w:line="276" w:lineRule="auto"/>
        <w:pBdr>
          <w:bottom w:val="single" w:sz="4" w:color="9AA0A6"/>
        </w:pBdr>
      </w:pPr>
      <w:r>
        <w:rPr>
          <w:rFonts w:ascii="Arial" w:hAnsi="Arial" w:eastAsia="Arial"/>
          <w:b/>
          <w:i w:val="0"/>
          <w:color w:val="1F2328"/>
          <w:sz w:val="26"/>
        </w:rPr>
        <w:t>What this brief is</w:t>
      </w:r>
    </w:p>
    <w:p>
      <w:pPr>
        <w:spacing w:after="120" w:before="0" w:line="276" w:lineRule="auto"/>
      </w:pPr>
      <w:r>
        <w:rPr>
          <w:rFonts w:ascii="Arial" w:hAnsi="Arial" w:eastAsia="Arial"/>
          <w:b w:val="0"/>
          <w:i w:val="0"/>
          <w:color w:val="1F2328"/>
          <w:sz w:val="20"/>
        </w:rPr>
        <w:t>In March 2026 HMD’s exclusive licence to make Nokia-branded phones ended. For the first time since 2016, the Nokia name on a phone is entirely back in Nokia’s hands, and nobody is using it.</w:t>
      </w:r>
    </w:p>
    <w:p>
      <w:pPr>
        <w:spacing w:after="120" w:before="0" w:line="276" w:lineRule="auto"/>
      </w:pPr>
      <w:r>
        <w:rPr>
          <w:rFonts w:ascii="Arial" w:hAnsi="Arial" w:eastAsia="Arial"/>
          <w:b w:val="0"/>
          <w:i w:val="0"/>
          <w:color w:val="1F2328"/>
          <w:sz w:val="20"/>
        </w:rPr>
        <w:t>Two manufacturers have approached Nokia about a new licence for a UK launch in 2028. This brief commissions the positioning work that decides the answer. The work should find out whether a Nokia phone can stand for something specific, worth paying £300 to £800 for, that adds value to the Nokia name.</w:t>
      </w:r>
    </w:p>
    <w:p>
      <w:pPr>
        <w:spacing w:after="120" w:before="0" w:line="276" w:lineRule="auto"/>
      </w:pPr>
      <w:r>
        <w:rPr>
          <w:rFonts w:ascii="Arial" w:hAnsi="Arial" w:eastAsia="Arial"/>
          <w:b w:val="0"/>
          <w:i w:val="0"/>
          <w:color w:val="1F2328"/>
          <w:sz w:val="20"/>
        </w:rPr>
        <w:t>If no such positioning exists, the recommendation should be: retire the Nokia name from consumer phones and let the brand belong to networks.</w:t>
      </w:r>
    </w:p>
    <w:p>
      <w:pPr>
        <w:spacing w:after="80" w:before="240" w:line="276" w:lineRule="auto"/>
        <w:pBdr>
          <w:bottom w:val="single" w:sz="4" w:color="9AA0A6"/>
        </w:pBdr>
      </w:pPr>
      <w:r>
        <w:rPr>
          <w:rFonts w:ascii="Arial" w:hAnsi="Arial" w:eastAsia="Arial"/>
          <w:b/>
          <w:i w:val="0"/>
          <w:color w:val="1F2328"/>
          <w:sz w:val="26"/>
        </w:rPr>
        <w:t>Background</w:t>
      </w:r>
    </w:p>
    <w:p>
      <w:pPr>
        <w:spacing w:after="120" w:before="0" w:line="276" w:lineRule="auto"/>
      </w:pPr>
      <w:r>
        <w:rPr>
          <w:rFonts w:ascii="Arial" w:hAnsi="Arial" w:eastAsia="Arial"/>
          <w:b w:val="0"/>
          <w:i w:val="0"/>
          <w:color w:val="1F2328"/>
          <w:sz w:val="20"/>
        </w:rPr>
        <w:t>Nokia was once the largest phone maker in the world. Its phone business went to Microsoft in 2014, and in 2016 HMD Global, founded by former Nokia people, took a ten-year licence to the name. HMD’s early phones were well reviewed, and the 2017 relaunch of the 3310 drew worldwide coverage. Then the market moved on. HMD tried pure Android, rugged phones and a five-camera flagship, the Nokia 9 PureView, before retreating to budget handsets and feature phones. Its last Nokia smartphone, the G42, launched in June 2023. Since then HMD has sold phones under its own name.</w:t>
      </w:r>
    </w:p>
    <w:p>
      <w:pPr>
        <w:spacing w:after="120" w:before="0" w:line="276" w:lineRule="auto"/>
      </w:pPr>
      <w:r>
        <w:rPr>
          <w:rFonts w:ascii="Arial" w:hAnsi="Arial" w:eastAsia="Arial"/>
          <w:b w:val="0"/>
          <w:i w:val="0"/>
          <w:color w:val="1F2328"/>
          <w:sz w:val="20"/>
        </w:rPr>
        <w:t>Nokia Corporation has moved on too. Its 2023 rebrand replaced the logo it had used for around 60 years. In late 2025 Nvidia invested $1 billion in the company, and from January 2026 Nokia reorganised around network infrastructure and mobile infrastructure for an AI era. Its chief executive, Justin Hotard, put it this way: “Nokia changed the world once by connecting people, and will again by connecting intelligence.”</w:t>
      </w:r>
    </w:p>
    <w:p>
      <w:pPr>
        <w:spacing w:after="80" w:before="240" w:line="276" w:lineRule="auto"/>
        <w:pBdr>
          <w:bottom w:val="single" w:sz="4" w:color="9AA0A6"/>
        </w:pBdr>
      </w:pPr>
      <w:r>
        <w:rPr>
          <w:rFonts w:ascii="Arial" w:hAnsi="Arial" w:eastAsia="Arial"/>
          <w:b/>
          <w:i w:val="0"/>
          <w:color w:val="1F2328"/>
          <w:sz w:val="26"/>
        </w:rPr>
        <w:t>The interesting bit</w:t>
      </w:r>
    </w:p>
    <w:p>
      <w:pPr>
        <w:spacing w:after="120" w:before="0" w:line="276" w:lineRule="auto"/>
      </w:pPr>
      <w:r>
        <w:rPr>
          <w:rFonts w:ascii="Arial" w:hAnsi="Arial" w:eastAsia="Arial"/>
          <w:b w:val="0"/>
          <w:i w:val="0"/>
          <w:color w:val="1F2328"/>
          <w:sz w:val="20"/>
        </w:rPr>
        <w:t>Almost everyone in the UK knows Nokia. Hardly anyone wants a Nokia phone. In our research, 94% of UK adults recognise the name and 8% would consider buying one. People have already decided Nokia is not for them, which is harder to change than never having heard of it.</w:t>
      </w:r>
    </w:p>
    <w:p>
      <w:pPr>
        <w:spacing w:after="120" w:before="0" w:line="276" w:lineRule="auto"/>
      </w:pPr>
      <w:r>
        <w:rPr>
          <w:rFonts w:ascii="Arial" w:hAnsi="Arial" w:eastAsia="Arial"/>
          <w:b w:val="0"/>
          <w:i w:val="0"/>
          <w:color w:val="1F2328"/>
          <w:sz w:val="20"/>
        </w:rPr>
        <w:t xml:space="preserve">Yet the things people do associate with Nokia, reliability and durability, are exactly what a growing group of buyers say they cannot find. Samsung and Google now promise seven years of software updates on their flagships, and EU rules since June 2025 set minimum repairability and update periods. Long life is available in the spec sheet of most phones. </w:t>
      </w:r>
      <w:r>
        <w:rPr>
          <w:rFonts w:ascii="Arial" w:hAnsi="Arial" w:eastAsia="Arial"/>
          <w:b/>
          <w:i w:val="0"/>
          <w:color w:val="1F2328"/>
          <w:sz w:val="20"/>
        </w:rPr>
        <w:t>No phone brand stands for it.</w:t>
      </w:r>
    </w:p>
    <w:p>
      <w:pPr>
        <w:spacing w:after="120" w:before="0" w:line="276" w:lineRule="auto"/>
      </w:pPr>
      <w:r>
        <w:rPr>
          <w:rFonts w:ascii="Arial" w:hAnsi="Arial" w:eastAsia="Arial"/>
          <w:b w:val="0"/>
          <w:i w:val="0"/>
          <w:color w:val="1F2328"/>
          <w:sz w:val="20"/>
        </w:rPr>
        <w:t>The risk runs the other way too. The corporate brand now means AI networks. A consumer phone that fails, or that trades on nostalgia, could make Nokia look like a company living in its past at the moment it is asking investors and operators to see its future.</w:t>
      </w:r>
    </w:p>
    <w:tbl>
      <w:tblPr>
        <w:tblW w:type="auto" w:w="0"/>
        <w:tblLook w:firstColumn="1" w:firstRow="1" w:lastColumn="0" w:lastRow="0" w:noHBand="0" w:noVBand="1" w:val="04A0"/>
        <w:tblBorders>
          <w:top w:val="single" w:sz="4" w:color="BFC4C9"/>
          <w:left w:val="single" w:sz="4" w:color="BFC4C9"/>
          <w:bottom w:val="single" w:sz="4" w:color="BFC4C9"/>
          <w:right w:val="single" w:sz="4" w:color="BFC4C9"/>
          <w:insideH w:val="single" w:sz="4" w:color="BFC4C9"/>
          <w:insideV w:val="single" w:sz="4" w:color="BFC4C9"/>
        </w:tblBorders>
        <w:tblCellMar>
          <w:top w:w="100" w:type="dxa"/>
          <w:left w:w="160" w:type="dxa"/>
          <w:bottom w:w="100" w:type="dxa"/>
          <w:right w:w="160" w:type="dxa"/>
        </w:tblCellMar>
      </w:tblPr>
      <w:tblGrid>
        <w:gridCol w:w="9412"/>
      </w:tblGrid>
      <w:tr>
        <w:tc>
          <w:tcPr>
            <w:tcW w:type="dxa" w:w="9412"/>
            <w:shd w:val="clear" w:color="auto" w:fill="F2F3F4"/>
          </w:tcPr>
          <w:p>
            <w:pPr>
              <w:spacing w:after="60"/>
            </w:pPr>
            <w:r>
              <w:rPr>
                <w:rFonts w:ascii="Arial" w:hAnsi="Arial" w:eastAsia="Arial"/>
                <w:b/>
                <w:i w:val="0"/>
                <w:color w:val="1F2328"/>
                <w:sz w:val="18"/>
              </w:rPr>
              <w:t>THE QUESTION</w:t>
            </w:r>
          </w:p>
          <w:p>
            <w:pPr>
              <w:spacing w:after="0"/>
            </w:pPr>
            <w:r>
              <w:rPr>
                <w:rFonts w:ascii="Arial" w:hAnsi="Arial" w:eastAsia="Arial"/>
                <w:b w:val="0"/>
                <w:i w:val="0"/>
                <w:color w:val="1F2328"/>
                <w:sz w:val="20"/>
              </w:rPr>
              <w:t>Is there a Nokia phone that is worth more than its specification because of the name on it, for a specific group of UK buyers, without leaning on nostalgia? Or is the kindest thing to do with the name to retire it from phones?</w:t>
            </w:r>
          </w:p>
        </w:tc>
      </w:tr>
    </w:tbl>
    <w:p>
      <w:pPr>
        <w:spacing w:after="120" w:before="0" w:line="276" w:lineRule="auto"/>
      </w:pPr>
    </w:p>
    <w:p>
      <w:pPr>
        <w:spacing w:after="80" w:before="240" w:line="276" w:lineRule="auto"/>
        <w:pBdr>
          <w:bottom w:val="single" w:sz="4" w:color="9AA0A6"/>
        </w:pBdr>
      </w:pPr>
      <w:r>
        <w:rPr>
          <w:rFonts w:ascii="Arial" w:hAnsi="Arial" w:eastAsia="Arial"/>
          <w:b/>
          <w:i w:val="0"/>
          <w:color w:val="1F2328"/>
          <w:sz w:val="26"/>
        </w:rPr>
        <w:t>Audience</w:t>
      </w:r>
    </w:p>
    <w:p>
      <w:pPr>
        <w:spacing w:after="120" w:before="0" w:line="276" w:lineRule="auto"/>
      </w:pPr>
      <w:r>
        <w:rPr>
          <w:rFonts w:ascii="Arial" w:hAnsi="Arial" w:eastAsia="Arial"/>
          <w:b w:val="0"/>
          <w:i w:val="0"/>
          <w:color w:val="1F2328"/>
          <w:sz w:val="20"/>
        </w:rPr>
        <w:t>The primary audience is open. Choosing it is part of the work. Our consumer research names three behavioural segments. Use these names exactly.</w:t>
      </w:r>
    </w:p>
    <w:tbl>
      <w:tblPr>
        <w:tblW w:type="auto" w:w="0"/>
        <w:tblLook w:firstColumn="1" w:firstRow="1" w:lastColumn="0" w:lastRow="0" w:noHBand="0" w:noVBand="1" w:val="04A0"/>
        <w:jc w:val="left"/>
        <w:tblBorders>
          <w:top w:val="single" w:sz="4" w:color="BFC4C9"/>
          <w:left w:val="single" w:sz="4" w:color="BFC4C9"/>
          <w:bottom w:val="single" w:sz="4" w:color="BFC4C9"/>
          <w:right w:val="single" w:sz="4" w:color="BFC4C9"/>
          <w:insideH w:val="single" w:sz="4" w:color="BFC4C9"/>
          <w:insideV w:val="single" w:sz="4" w:color="BFC4C9"/>
        </w:tblBorders>
        <w:tblCellMar>
          <w:top w:w="60" w:type="dxa"/>
          <w:left w:w="100" w:type="dxa"/>
          <w:bottom w:w="60" w:type="dxa"/>
          <w:right w:w="100" w:type="dxa"/>
        </w:tblCellMar>
      </w:tblPr>
      <w:tblGrid>
        <w:gridCol w:w="3137"/>
        <w:gridCol w:w="3137"/>
        <w:gridCol w:w="3137"/>
      </w:tblGrid>
      <w:tr>
        <w:tc>
          <w:tcPr>
            <w:tcW w:type="dxa" w:w="3137"/>
            <w:shd w:val="clear" w:color="auto" w:fill="E7E9EB"/>
          </w:tcPr>
          <w:p>
            <w:pPr>
              <w:spacing w:after="0"/>
            </w:pPr>
            <w:r>
              <w:rPr>
                <w:rFonts w:ascii="Arial" w:hAnsi="Arial" w:eastAsia="Arial"/>
                <w:b/>
                <w:i w:val="0"/>
                <w:color w:val="1F2328"/>
                <w:sz w:val="18"/>
              </w:rPr>
              <w:t>Segment</w:t>
            </w:r>
          </w:p>
        </w:tc>
        <w:tc>
          <w:tcPr>
            <w:tcW w:type="dxa" w:w="3137"/>
            <w:shd w:val="clear" w:color="auto" w:fill="E7E9EB"/>
          </w:tcPr>
          <w:p>
            <w:pPr>
              <w:spacing w:after="0"/>
            </w:pPr>
            <w:r>
              <w:rPr>
                <w:rFonts w:ascii="Arial" w:hAnsi="Arial" w:eastAsia="Arial"/>
                <w:b/>
                <w:i w:val="0"/>
                <w:color w:val="1F2328"/>
                <w:sz w:val="18"/>
              </w:rPr>
              <w:t>Who they are</w:t>
            </w:r>
          </w:p>
        </w:tc>
        <w:tc>
          <w:tcPr>
            <w:tcW w:type="dxa" w:w="3137"/>
            <w:shd w:val="clear" w:color="auto" w:fill="E7E9EB"/>
          </w:tcPr>
          <w:p>
            <w:pPr>
              <w:spacing w:after="0"/>
            </w:pPr>
            <w:r>
              <w:rPr>
                <w:rFonts w:ascii="Arial" w:hAnsi="Arial" w:eastAsia="Arial"/>
                <w:b/>
                <w:i w:val="0"/>
                <w:color w:val="1F2328"/>
                <w:sz w:val="18"/>
              </w:rPr>
              <w:t>What they want from a phone</w:t>
            </w:r>
          </w:p>
        </w:tc>
      </w:tr>
      <w:tr>
        <w:tc>
          <w:tcPr>
            <w:tcW w:type="dxa" w:w="3137"/>
          </w:tcPr>
          <w:p>
            <w:pPr>
              <w:spacing w:after="0"/>
            </w:pPr>
            <w:r>
              <w:rPr>
                <w:rFonts w:ascii="Arial" w:hAnsi="Arial" w:eastAsia="Arial"/>
                <w:b/>
                <w:i w:val="0"/>
                <w:color w:val="1F2328"/>
                <w:sz w:val="18"/>
              </w:rPr>
              <w:t>Lifespan Pragmatists</w:t>
            </w:r>
          </w:p>
        </w:tc>
        <w:tc>
          <w:tcPr>
            <w:tcW w:type="dxa" w:w="3137"/>
          </w:tcPr>
          <w:p>
            <w:pPr>
              <w:spacing w:after="0"/>
            </w:pPr>
            <w:r>
              <w:rPr>
                <w:rFonts w:ascii="Arial" w:hAnsi="Arial" w:eastAsia="Arial"/>
                <w:b w:val="0"/>
                <w:i w:val="0"/>
                <w:color w:val="1F2328"/>
                <w:sz w:val="18"/>
              </w:rPr>
              <w:t>UK smartphone owners aged 30 to 55, mostly on mid-range Android or older iPhones. About 21% of buyers.</w:t>
            </w:r>
          </w:p>
        </w:tc>
        <w:tc>
          <w:tcPr>
            <w:tcW w:type="dxa" w:w="3137"/>
          </w:tcPr>
          <w:p>
            <w:pPr>
              <w:spacing w:after="0"/>
            </w:pPr>
            <w:r>
              <w:rPr>
                <w:rFonts w:ascii="Arial" w:hAnsi="Arial" w:eastAsia="Arial"/>
                <w:b w:val="0"/>
                <w:i w:val="0"/>
                <w:color w:val="1F2328"/>
                <w:sz w:val="18"/>
              </w:rPr>
              <w:t>A phone that lasts five years or more, repairs easily and does not slow down. Frustrated by upgrade cycles.</w:t>
            </w:r>
          </w:p>
        </w:tc>
      </w:tr>
      <w:tr>
        <w:tc>
          <w:tcPr>
            <w:tcW w:type="dxa" w:w="3137"/>
          </w:tcPr>
          <w:p>
            <w:pPr>
              <w:spacing w:after="0"/>
            </w:pPr>
            <w:r>
              <w:rPr>
                <w:rFonts w:ascii="Arial" w:hAnsi="Arial" w:eastAsia="Arial"/>
                <w:b/>
                <w:i w:val="0"/>
                <w:color w:val="1F2328"/>
                <w:sz w:val="18"/>
              </w:rPr>
              <w:t>Deliberate Disconnectors</w:t>
            </w:r>
          </w:p>
        </w:tc>
        <w:tc>
          <w:tcPr>
            <w:tcW w:type="dxa" w:w="3137"/>
          </w:tcPr>
          <w:p>
            <w:pPr>
              <w:spacing w:after="0"/>
            </w:pPr>
            <w:r>
              <w:rPr>
                <w:rFonts w:ascii="Arial" w:hAnsi="Arial" w:eastAsia="Arial"/>
                <w:b w:val="0"/>
                <w:i w:val="0"/>
                <w:color w:val="1F2328"/>
                <w:sz w:val="18"/>
              </w:rPr>
              <w:t>Adults aged 18 to 34 cutting back on screen time, buying feature phones or locking down smartphones. About 7% of buyers.</w:t>
            </w:r>
          </w:p>
        </w:tc>
        <w:tc>
          <w:tcPr>
            <w:tcW w:type="dxa" w:w="3137"/>
          </w:tcPr>
          <w:p>
            <w:pPr>
              <w:spacing w:after="0"/>
            </w:pPr>
            <w:r>
              <w:rPr>
                <w:rFonts w:ascii="Arial" w:hAnsi="Arial" w:eastAsia="Arial"/>
                <w:b w:val="0"/>
                <w:i w:val="0"/>
                <w:color w:val="1F2328"/>
                <w:sz w:val="18"/>
              </w:rPr>
              <w:t>Less phone. Simple, characterful devices, often as a second handset. Highly visible online.</w:t>
            </w:r>
          </w:p>
        </w:tc>
      </w:tr>
      <w:tr>
        <w:tc>
          <w:tcPr>
            <w:tcW w:type="dxa" w:w="3137"/>
          </w:tcPr>
          <w:p>
            <w:pPr>
              <w:spacing w:after="0"/>
            </w:pPr>
            <w:r>
              <w:rPr>
                <w:rFonts w:ascii="Arial" w:hAnsi="Arial" w:eastAsia="Arial"/>
                <w:b/>
                <w:i w:val="0"/>
                <w:color w:val="1F2328"/>
                <w:sz w:val="18"/>
              </w:rPr>
              <w:t>Flagship Loyalists</w:t>
            </w:r>
          </w:p>
        </w:tc>
        <w:tc>
          <w:tcPr>
            <w:tcW w:type="dxa" w:w="3137"/>
          </w:tcPr>
          <w:p>
            <w:pPr>
              <w:spacing w:after="0"/>
            </w:pPr>
            <w:r>
              <w:rPr>
                <w:rFonts w:ascii="Arial" w:hAnsi="Arial" w:eastAsia="Arial"/>
                <w:b w:val="0"/>
                <w:i w:val="0"/>
                <w:color w:val="1F2328"/>
                <w:sz w:val="18"/>
              </w:rPr>
              <w:t>Owners of recent iPhones and Galaxy S phones who upgrade every two to three years. About 44% of buyers.</w:t>
            </w:r>
          </w:p>
        </w:tc>
        <w:tc>
          <w:tcPr>
            <w:tcW w:type="dxa" w:w="3137"/>
          </w:tcPr>
          <w:p>
            <w:pPr>
              <w:spacing w:after="0"/>
            </w:pPr>
            <w:r>
              <w:rPr>
                <w:rFonts w:ascii="Arial" w:hAnsi="Arial" w:eastAsia="Arial"/>
                <w:b w:val="0"/>
                <w:i w:val="0"/>
                <w:color w:val="1F2328"/>
                <w:sz w:val="18"/>
              </w:rPr>
              <w:t>The newest camera and features, within an ecosystem they already trust.</w:t>
            </w:r>
          </w:p>
        </w:tc>
      </w:tr>
    </w:tbl>
    <w:p>
      <w:pPr>
        <w:spacing w:after="160" w:before="40" w:line="276" w:lineRule="auto"/>
      </w:pPr>
      <w:r>
        <w:rPr>
          <w:rFonts w:ascii="Arial" w:hAnsi="Arial" w:eastAsia="Arial"/>
          <w:b w:val="0"/>
          <w:i/>
          <w:color w:val="5F666D"/>
          <w:sz w:val="16"/>
        </w:rPr>
        <w:t>Source: Nokia UK Phone Buyer Study, September 2026 (n=2,412). Full detail in the consumer research document.</w:t>
      </w:r>
    </w:p>
    <w:p>
      <w:pPr>
        <w:spacing w:after="80" w:before="240" w:line="276" w:lineRule="auto"/>
        <w:pBdr>
          <w:bottom w:val="single" w:sz="4" w:color="9AA0A6"/>
        </w:pBdr>
      </w:pPr>
      <w:r>
        <w:rPr>
          <w:rFonts w:ascii="Arial" w:hAnsi="Arial" w:eastAsia="Arial"/>
          <w:b/>
          <w:i w:val="0"/>
          <w:color w:val="1F2328"/>
          <w:sz w:val="26"/>
        </w:rPr>
        <w:t>Competitive context</w:t>
      </w:r>
    </w:p>
    <w:p>
      <w:pPr>
        <w:spacing w:after="120" w:before="0" w:line="276" w:lineRule="auto"/>
      </w:pPr>
      <w:r>
        <w:rPr>
          <w:rFonts w:ascii="Arial" w:hAnsi="Arial" w:eastAsia="Arial"/>
          <w:b w:val="0"/>
          <w:i w:val="0"/>
          <w:color w:val="1F2328"/>
          <w:sz w:val="20"/>
        </w:rPr>
        <w:t>The UK market is a two-brand market. In September 2026 Apple and Samsung accounted for about 82% of phones in use (StatCounter), with Xiaomi, Google and Motorola sharing most of the rest. The competitive landscape document sets out how each positions itself.</w:t>
      </w:r>
    </w:p>
    <w:tbl>
      <w:tblPr>
        <w:tblW w:type="auto" w:w="0"/>
        <w:tblLook w:firstColumn="1" w:firstRow="1" w:lastColumn="0" w:lastRow="0" w:noHBand="0" w:noVBand="1" w:val="04A0"/>
        <w:jc w:val="left"/>
        <w:tblBorders>
          <w:top w:val="single" w:sz="4" w:color="BFC4C9"/>
          <w:left w:val="single" w:sz="4" w:color="BFC4C9"/>
          <w:bottom w:val="single" w:sz="4" w:color="BFC4C9"/>
          <w:right w:val="single" w:sz="4" w:color="BFC4C9"/>
          <w:insideH w:val="single" w:sz="4" w:color="BFC4C9"/>
          <w:insideV w:val="single" w:sz="4" w:color="BFC4C9"/>
        </w:tblBorders>
        <w:tblCellMar>
          <w:top w:w="60" w:type="dxa"/>
          <w:left w:w="100" w:type="dxa"/>
          <w:bottom w:w="60" w:type="dxa"/>
          <w:right w:w="100" w:type="dxa"/>
        </w:tblCellMar>
      </w:tblPr>
      <w:tblGrid>
        <w:gridCol w:w="1882"/>
        <w:gridCol w:w="1882"/>
        <w:gridCol w:w="1882"/>
        <w:gridCol w:w="1882"/>
        <w:gridCol w:w="1882"/>
      </w:tblGrid>
      <w:tr>
        <w:tc>
          <w:tcPr>
            <w:tcW w:type="dxa" w:w="1882"/>
            <w:shd w:val="clear" w:color="auto" w:fill="E7E9EB"/>
          </w:tcPr>
          <w:p>
            <w:pPr>
              <w:spacing w:after="0"/>
            </w:pPr>
            <w:r>
              <w:rPr>
                <w:rFonts w:ascii="Arial" w:hAnsi="Arial" w:eastAsia="Arial"/>
                <w:b/>
                <w:i w:val="0"/>
                <w:color w:val="1F2328"/>
                <w:sz w:val="18"/>
              </w:rPr>
              <w:t>Measure (UK adults)</w:t>
            </w:r>
          </w:p>
        </w:tc>
        <w:tc>
          <w:tcPr>
            <w:tcW w:type="dxa" w:w="1882"/>
            <w:shd w:val="clear" w:color="auto" w:fill="E7E9EB"/>
          </w:tcPr>
          <w:p>
            <w:pPr>
              <w:spacing w:after="0"/>
            </w:pPr>
            <w:r>
              <w:rPr>
                <w:rFonts w:ascii="Arial" w:hAnsi="Arial" w:eastAsia="Arial"/>
                <w:b/>
                <w:i w:val="0"/>
                <w:color w:val="1F2328"/>
                <w:sz w:val="18"/>
              </w:rPr>
              <w:t>Nokia</w:t>
            </w:r>
          </w:p>
        </w:tc>
        <w:tc>
          <w:tcPr>
            <w:tcW w:type="dxa" w:w="1882"/>
            <w:shd w:val="clear" w:color="auto" w:fill="E7E9EB"/>
          </w:tcPr>
          <w:p>
            <w:pPr>
              <w:spacing w:after="0"/>
            </w:pPr>
            <w:r>
              <w:rPr>
                <w:rFonts w:ascii="Arial" w:hAnsi="Arial" w:eastAsia="Arial"/>
                <w:b/>
                <w:i w:val="0"/>
                <w:color w:val="1F2328"/>
                <w:sz w:val="18"/>
              </w:rPr>
              <w:t>Apple</w:t>
            </w:r>
          </w:p>
        </w:tc>
        <w:tc>
          <w:tcPr>
            <w:tcW w:type="dxa" w:w="1882"/>
            <w:shd w:val="clear" w:color="auto" w:fill="E7E9EB"/>
          </w:tcPr>
          <w:p>
            <w:pPr>
              <w:spacing w:after="0"/>
            </w:pPr>
            <w:r>
              <w:rPr>
                <w:rFonts w:ascii="Arial" w:hAnsi="Arial" w:eastAsia="Arial"/>
                <w:b/>
                <w:i w:val="0"/>
                <w:color w:val="1F2328"/>
                <w:sz w:val="18"/>
              </w:rPr>
              <w:t>Samsung</w:t>
            </w:r>
          </w:p>
        </w:tc>
        <w:tc>
          <w:tcPr>
            <w:tcW w:type="dxa" w:w="1882"/>
            <w:shd w:val="clear" w:color="auto" w:fill="E7E9EB"/>
          </w:tcPr>
          <w:p>
            <w:pPr>
              <w:spacing w:after="0"/>
            </w:pPr>
            <w:r>
              <w:rPr>
                <w:rFonts w:ascii="Arial" w:hAnsi="Arial" w:eastAsia="Arial"/>
                <w:b/>
                <w:i w:val="0"/>
                <w:color w:val="1F2328"/>
                <w:sz w:val="18"/>
              </w:rPr>
              <w:t>Google Pixel</w:t>
            </w:r>
          </w:p>
        </w:tc>
      </w:tr>
      <w:tr>
        <w:tc>
          <w:tcPr>
            <w:tcW w:type="dxa" w:w="1882"/>
          </w:tcPr>
          <w:p>
            <w:pPr>
              <w:spacing w:after="0"/>
            </w:pPr>
            <w:r>
              <w:rPr>
                <w:rFonts w:ascii="Arial" w:hAnsi="Arial" w:eastAsia="Arial"/>
                <w:b w:val="0"/>
                <w:i w:val="0"/>
                <w:color w:val="1F2328"/>
                <w:sz w:val="18"/>
              </w:rPr>
              <w:t>Aided awareness</w:t>
            </w:r>
          </w:p>
        </w:tc>
        <w:tc>
          <w:tcPr>
            <w:tcW w:type="dxa" w:w="1882"/>
          </w:tcPr>
          <w:p>
            <w:pPr>
              <w:spacing w:after="0"/>
            </w:pPr>
            <w:r>
              <w:rPr>
                <w:rFonts w:ascii="Arial" w:hAnsi="Arial" w:eastAsia="Arial"/>
                <w:b w:val="0"/>
                <w:i w:val="0"/>
                <w:color w:val="1F2328"/>
                <w:sz w:val="18"/>
              </w:rPr>
              <w:t>94%</w:t>
            </w:r>
          </w:p>
        </w:tc>
        <w:tc>
          <w:tcPr>
            <w:tcW w:type="dxa" w:w="1882"/>
          </w:tcPr>
          <w:p>
            <w:pPr>
              <w:spacing w:after="0"/>
            </w:pPr>
            <w:r>
              <w:rPr>
                <w:rFonts w:ascii="Arial" w:hAnsi="Arial" w:eastAsia="Arial"/>
                <w:b w:val="0"/>
                <w:i w:val="0"/>
                <w:color w:val="1F2328"/>
                <w:sz w:val="18"/>
              </w:rPr>
              <w:t>99%</w:t>
            </w:r>
          </w:p>
        </w:tc>
        <w:tc>
          <w:tcPr>
            <w:tcW w:type="dxa" w:w="1882"/>
          </w:tcPr>
          <w:p>
            <w:pPr>
              <w:spacing w:after="0"/>
            </w:pPr>
            <w:r>
              <w:rPr>
                <w:rFonts w:ascii="Arial" w:hAnsi="Arial" w:eastAsia="Arial"/>
                <w:b w:val="0"/>
                <w:i w:val="0"/>
                <w:color w:val="1F2328"/>
                <w:sz w:val="18"/>
              </w:rPr>
              <w:t>98%</w:t>
            </w:r>
          </w:p>
        </w:tc>
        <w:tc>
          <w:tcPr>
            <w:tcW w:type="dxa" w:w="1882"/>
          </w:tcPr>
          <w:p>
            <w:pPr>
              <w:spacing w:after="0"/>
            </w:pPr>
            <w:r>
              <w:rPr>
                <w:rFonts w:ascii="Arial" w:hAnsi="Arial" w:eastAsia="Arial"/>
                <w:b w:val="0"/>
                <w:i w:val="0"/>
                <w:color w:val="1F2328"/>
                <w:sz w:val="18"/>
              </w:rPr>
              <w:t>71%</w:t>
            </w:r>
          </w:p>
        </w:tc>
      </w:tr>
      <w:tr>
        <w:tc>
          <w:tcPr>
            <w:tcW w:type="dxa" w:w="1882"/>
          </w:tcPr>
          <w:p>
            <w:pPr>
              <w:spacing w:after="0"/>
            </w:pPr>
            <w:r>
              <w:rPr>
                <w:rFonts w:ascii="Arial" w:hAnsi="Arial" w:eastAsia="Arial"/>
                <w:b w:val="0"/>
                <w:i w:val="0"/>
                <w:color w:val="1F2328"/>
                <w:sz w:val="18"/>
              </w:rPr>
              <w:t>Would consider buying</w:t>
            </w:r>
          </w:p>
        </w:tc>
        <w:tc>
          <w:tcPr>
            <w:tcW w:type="dxa" w:w="1882"/>
          </w:tcPr>
          <w:p>
            <w:pPr>
              <w:spacing w:after="0"/>
            </w:pPr>
            <w:r>
              <w:rPr>
                <w:rFonts w:ascii="Arial" w:hAnsi="Arial" w:eastAsia="Arial"/>
                <w:b w:val="0"/>
                <w:i w:val="0"/>
                <w:color w:val="1F2328"/>
                <w:sz w:val="18"/>
              </w:rPr>
              <w:t>8%</w:t>
            </w:r>
          </w:p>
        </w:tc>
        <w:tc>
          <w:tcPr>
            <w:tcW w:type="dxa" w:w="1882"/>
          </w:tcPr>
          <w:p>
            <w:pPr>
              <w:spacing w:after="0"/>
            </w:pPr>
            <w:r>
              <w:rPr>
                <w:rFonts w:ascii="Arial" w:hAnsi="Arial" w:eastAsia="Arial"/>
                <w:b w:val="0"/>
                <w:i w:val="0"/>
                <w:color w:val="1F2328"/>
                <w:sz w:val="18"/>
              </w:rPr>
              <w:t>61%</w:t>
            </w:r>
          </w:p>
        </w:tc>
        <w:tc>
          <w:tcPr>
            <w:tcW w:type="dxa" w:w="1882"/>
          </w:tcPr>
          <w:p>
            <w:pPr>
              <w:spacing w:after="0"/>
            </w:pPr>
            <w:r>
              <w:rPr>
                <w:rFonts w:ascii="Arial" w:hAnsi="Arial" w:eastAsia="Arial"/>
                <w:b w:val="0"/>
                <w:i w:val="0"/>
                <w:color w:val="1F2328"/>
                <w:sz w:val="18"/>
              </w:rPr>
              <w:t>57%</w:t>
            </w:r>
          </w:p>
        </w:tc>
        <w:tc>
          <w:tcPr>
            <w:tcW w:type="dxa" w:w="1882"/>
          </w:tcPr>
          <w:p>
            <w:pPr>
              <w:spacing w:after="0"/>
            </w:pPr>
            <w:r>
              <w:rPr>
                <w:rFonts w:ascii="Arial" w:hAnsi="Arial" w:eastAsia="Arial"/>
                <w:b w:val="0"/>
                <w:i w:val="0"/>
                <w:color w:val="1F2328"/>
                <w:sz w:val="18"/>
              </w:rPr>
              <w:t>23%</w:t>
            </w:r>
          </w:p>
        </w:tc>
      </w:tr>
      <w:tr>
        <w:tc>
          <w:tcPr>
            <w:tcW w:type="dxa" w:w="1882"/>
          </w:tcPr>
          <w:p>
            <w:pPr>
              <w:spacing w:after="0"/>
            </w:pPr>
            <w:r>
              <w:rPr>
                <w:rFonts w:ascii="Arial" w:hAnsi="Arial" w:eastAsia="Arial"/>
                <w:b w:val="0"/>
                <w:i w:val="0"/>
                <w:color w:val="1F2328"/>
                <w:sz w:val="18"/>
              </w:rPr>
              <w:t>“Reliable” association</w:t>
            </w:r>
          </w:p>
        </w:tc>
        <w:tc>
          <w:tcPr>
            <w:tcW w:type="dxa" w:w="1882"/>
          </w:tcPr>
          <w:p>
            <w:pPr>
              <w:spacing w:after="0"/>
            </w:pPr>
            <w:r>
              <w:rPr>
                <w:rFonts w:ascii="Arial" w:hAnsi="Arial" w:eastAsia="Arial"/>
                <w:b w:val="0"/>
                <w:i w:val="0"/>
                <w:color w:val="1F2328"/>
                <w:sz w:val="18"/>
              </w:rPr>
              <w:t>63%</w:t>
            </w:r>
          </w:p>
        </w:tc>
        <w:tc>
          <w:tcPr>
            <w:tcW w:type="dxa" w:w="1882"/>
          </w:tcPr>
          <w:p>
            <w:pPr>
              <w:spacing w:after="0"/>
            </w:pPr>
            <w:r>
              <w:rPr>
                <w:rFonts w:ascii="Arial" w:hAnsi="Arial" w:eastAsia="Arial"/>
                <w:b w:val="0"/>
                <w:i w:val="0"/>
                <w:color w:val="1F2328"/>
                <w:sz w:val="18"/>
              </w:rPr>
              <w:t>58%</w:t>
            </w:r>
          </w:p>
        </w:tc>
        <w:tc>
          <w:tcPr>
            <w:tcW w:type="dxa" w:w="1882"/>
          </w:tcPr>
          <w:p>
            <w:pPr>
              <w:spacing w:after="0"/>
            </w:pPr>
            <w:r>
              <w:rPr>
                <w:rFonts w:ascii="Arial" w:hAnsi="Arial" w:eastAsia="Arial"/>
                <w:b w:val="0"/>
                <w:i w:val="0"/>
                <w:color w:val="1F2328"/>
                <w:sz w:val="18"/>
              </w:rPr>
              <w:t>52%</w:t>
            </w:r>
          </w:p>
        </w:tc>
        <w:tc>
          <w:tcPr>
            <w:tcW w:type="dxa" w:w="1882"/>
          </w:tcPr>
          <w:p>
            <w:pPr>
              <w:spacing w:after="0"/>
            </w:pPr>
            <w:r>
              <w:rPr>
                <w:rFonts w:ascii="Arial" w:hAnsi="Arial" w:eastAsia="Arial"/>
                <w:b w:val="0"/>
                <w:i w:val="0"/>
                <w:color w:val="1F2328"/>
                <w:sz w:val="18"/>
              </w:rPr>
              <w:t>34%</w:t>
            </w:r>
          </w:p>
        </w:tc>
      </w:tr>
      <w:tr>
        <w:tc>
          <w:tcPr>
            <w:tcW w:type="dxa" w:w="1882"/>
          </w:tcPr>
          <w:p>
            <w:pPr>
              <w:spacing w:after="0"/>
            </w:pPr>
            <w:r>
              <w:rPr>
                <w:rFonts w:ascii="Arial" w:hAnsi="Arial" w:eastAsia="Arial"/>
                <w:b w:val="0"/>
                <w:i w:val="0"/>
                <w:color w:val="1F2328"/>
                <w:sz w:val="18"/>
              </w:rPr>
              <w:t>“Outdated” association</w:t>
            </w:r>
          </w:p>
        </w:tc>
        <w:tc>
          <w:tcPr>
            <w:tcW w:type="dxa" w:w="1882"/>
          </w:tcPr>
          <w:p>
            <w:pPr>
              <w:spacing w:after="0"/>
            </w:pPr>
            <w:r>
              <w:rPr>
                <w:rFonts w:ascii="Arial" w:hAnsi="Arial" w:eastAsia="Arial"/>
                <w:b w:val="0"/>
                <w:i w:val="0"/>
                <w:color w:val="1F2328"/>
                <w:sz w:val="18"/>
              </w:rPr>
              <w:t>55%</w:t>
            </w:r>
          </w:p>
        </w:tc>
        <w:tc>
          <w:tcPr>
            <w:tcW w:type="dxa" w:w="1882"/>
          </w:tcPr>
          <w:p>
            <w:pPr>
              <w:spacing w:after="0"/>
            </w:pPr>
            <w:r>
              <w:rPr>
                <w:rFonts w:ascii="Arial" w:hAnsi="Arial" w:eastAsia="Arial"/>
                <w:b w:val="0"/>
                <w:i w:val="0"/>
                <w:color w:val="1F2328"/>
                <w:sz w:val="18"/>
              </w:rPr>
              <w:t>4%</w:t>
            </w:r>
          </w:p>
        </w:tc>
        <w:tc>
          <w:tcPr>
            <w:tcW w:type="dxa" w:w="1882"/>
          </w:tcPr>
          <w:p>
            <w:pPr>
              <w:spacing w:after="0"/>
            </w:pPr>
            <w:r>
              <w:rPr>
                <w:rFonts w:ascii="Arial" w:hAnsi="Arial" w:eastAsia="Arial"/>
                <w:b w:val="0"/>
                <w:i w:val="0"/>
                <w:color w:val="1F2328"/>
                <w:sz w:val="18"/>
              </w:rPr>
              <w:t>9%</w:t>
            </w:r>
          </w:p>
        </w:tc>
        <w:tc>
          <w:tcPr>
            <w:tcW w:type="dxa" w:w="1882"/>
          </w:tcPr>
          <w:p>
            <w:pPr>
              <w:spacing w:after="0"/>
            </w:pPr>
            <w:r>
              <w:rPr>
                <w:rFonts w:ascii="Arial" w:hAnsi="Arial" w:eastAsia="Arial"/>
                <w:b w:val="0"/>
                <w:i w:val="0"/>
                <w:color w:val="1F2328"/>
                <w:sz w:val="18"/>
              </w:rPr>
              <w:t>6%</w:t>
            </w:r>
          </w:p>
        </w:tc>
      </w:tr>
      <w:tr>
        <w:tc>
          <w:tcPr>
            <w:tcW w:type="dxa" w:w="1882"/>
          </w:tcPr>
          <w:p>
            <w:pPr>
              <w:spacing w:after="0"/>
            </w:pPr>
            <w:r>
              <w:rPr>
                <w:rFonts w:ascii="Arial" w:hAnsi="Arial" w:eastAsia="Arial"/>
                <w:b w:val="0"/>
                <w:i w:val="0"/>
                <w:color w:val="1F2328"/>
                <w:sz w:val="18"/>
              </w:rPr>
              <w:t>“Lasts for years” association</w:t>
            </w:r>
          </w:p>
        </w:tc>
        <w:tc>
          <w:tcPr>
            <w:tcW w:type="dxa" w:w="1882"/>
          </w:tcPr>
          <w:p>
            <w:pPr>
              <w:spacing w:after="0"/>
            </w:pPr>
            <w:r>
              <w:rPr>
                <w:rFonts w:ascii="Arial" w:hAnsi="Arial" w:eastAsia="Arial"/>
                <w:b w:val="0"/>
                <w:i w:val="0"/>
                <w:color w:val="1F2328"/>
                <w:sz w:val="18"/>
              </w:rPr>
              <w:t>61%</w:t>
            </w:r>
          </w:p>
        </w:tc>
        <w:tc>
          <w:tcPr>
            <w:tcW w:type="dxa" w:w="1882"/>
          </w:tcPr>
          <w:p>
            <w:pPr>
              <w:spacing w:after="0"/>
            </w:pPr>
            <w:r>
              <w:rPr>
                <w:rFonts w:ascii="Arial" w:hAnsi="Arial" w:eastAsia="Arial"/>
                <w:b w:val="0"/>
                <w:i w:val="0"/>
                <w:color w:val="1F2328"/>
                <w:sz w:val="18"/>
              </w:rPr>
              <w:t>41%</w:t>
            </w:r>
          </w:p>
        </w:tc>
        <w:tc>
          <w:tcPr>
            <w:tcW w:type="dxa" w:w="1882"/>
          </w:tcPr>
          <w:p>
            <w:pPr>
              <w:spacing w:after="0"/>
            </w:pPr>
            <w:r>
              <w:rPr>
                <w:rFonts w:ascii="Arial" w:hAnsi="Arial" w:eastAsia="Arial"/>
                <w:b w:val="0"/>
                <w:i w:val="0"/>
                <w:color w:val="1F2328"/>
                <w:sz w:val="18"/>
              </w:rPr>
              <w:t>33%</w:t>
            </w:r>
          </w:p>
        </w:tc>
        <w:tc>
          <w:tcPr>
            <w:tcW w:type="dxa" w:w="1882"/>
          </w:tcPr>
          <w:p>
            <w:pPr>
              <w:spacing w:after="0"/>
            </w:pPr>
            <w:r>
              <w:rPr>
                <w:rFonts w:ascii="Arial" w:hAnsi="Arial" w:eastAsia="Arial"/>
                <w:b w:val="0"/>
                <w:i w:val="0"/>
                <w:color w:val="1F2328"/>
                <w:sz w:val="18"/>
              </w:rPr>
              <w:t>22%</w:t>
            </w:r>
          </w:p>
        </w:tc>
      </w:tr>
    </w:tbl>
    <w:p>
      <w:pPr>
        <w:spacing w:after="160" w:before="40" w:line="276" w:lineRule="auto"/>
      </w:pPr>
      <w:r>
        <w:rPr>
          <w:rFonts w:ascii="Arial" w:hAnsi="Arial" w:eastAsia="Arial"/>
          <w:b w:val="0"/>
          <w:i/>
          <w:color w:val="5F666D"/>
          <w:sz w:val="16"/>
        </w:rPr>
        <w:t>Source: Nokia UK Phone Buyer Study, September 2026. Illustrative figures.</w:t>
      </w:r>
    </w:p>
    <w:p>
      <w:pPr>
        <w:spacing w:after="80" w:before="240" w:line="276" w:lineRule="auto"/>
        <w:pBdr>
          <w:bottom w:val="single" w:sz="4" w:color="9AA0A6"/>
        </w:pBdr>
      </w:pPr>
      <w:r>
        <w:rPr>
          <w:rFonts w:ascii="Arial" w:hAnsi="Arial" w:eastAsia="Arial"/>
          <w:b/>
          <w:i w:val="0"/>
          <w:color w:val="1F2328"/>
          <w:sz w:val="26"/>
        </w:rPr>
        <w:t>What we need</w:t>
      </w:r>
    </w:p>
    <w:p>
      <w:pPr>
        <w:pStyle w:val="ListBullet"/>
        <w:spacing w:after="60"/>
      </w:pPr>
      <w:r>
        <w:rPr>
          <w:rFonts w:ascii="Arial" w:hAnsi="Arial" w:eastAsia="Arial"/>
          <w:b w:val="0"/>
          <w:i w:val="0"/>
          <w:color w:val="1F2328"/>
          <w:sz w:val="20"/>
        </w:rPr>
        <w:t>A single-sentence position for a Nokia phone, with a clear statement of what it will not be.</w:t>
      </w:r>
    </w:p>
    <w:p>
      <w:pPr>
        <w:pStyle w:val="ListBullet"/>
        <w:spacing w:after="60"/>
      </w:pPr>
      <w:r>
        <w:rPr>
          <w:rFonts w:ascii="Arial" w:hAnsi="Arial" w:eastAsia="Arial"/>
          <w:b w:val="0"/>
          <w:i w:val="0"/>
          <w:color w:val="1F2328"/>
          <w:sz w:val="20"/>
        </w:rPr>
        <w:t>One primary audience, chosen from the three segments, with a reason the others are excluded.</w:t>
      </w:r>
    </w:p>
    <w:p>
      <w:pPr>
        <w:pStyle w:val="ListBullet"/>
        <w:spacing w:after="60"/>
      </w:pPr>
      <w:r>
        <w:rPr>
          <w:rFonts w:ascii="Arial" w:hAnsi="Arial" w:eastAsia="Arial"/>
          <w:b w:val="0"/>
          <w:i w:val="0"/>
          <w:color w:val="1F2328"/>
          <w:sz w:val="20"/>
        </w:rPr>
        <w:t>A view on what the Nokia name adds that the specification alone does not.</w:t>
      </w:r>
    </w:p>
    <w:p>
      <w:pPr>
        <w:pStyle w:val="ListBullet"/>
        <w:spacing w:after="60"/>
      </w:pPr>
      <w:r>
        <w:rPr>
          <w:rFonts w:ascii="Arial" w:hAnsi="Arial" w:eastAsia="Arial"/>
          <w:b w:val="0"/>
          <w:i w:val="0"/>
          <w:color w:val="1F2328"/>
          <w:sz w:val="20"/>
        </w:rPr>
        <w:t>A view on how a phone position fits, or conflicts with, the corporate story of connecting intelligence.</w:t>
      </w:r>
    </w:p>
    <w:p>
      <w:pPr>
        <w:pStyle w:val="ListBullet"/>
        <w:spacing w:after="60"/>
      </w:pPr>
      <w:r>
        <w:rPr>
          <w:rFonts w:ascii="Arial" w:hAnsi="Arial" w:eastAsia="Arial"/>
          <w:b w:val="0"/>
          <w:i w:val="0"/>
          <w:color w:val="1F2328"/>
          <w:sz w:val="20"/>
        </w:rPr>
        <w:t>Evidence that the position could reach 3% of UK smartphone sales by 2030, or a recommendation to stay out.</w:t>
      </w:r>
    </w:p>
    <w:p>
      <w:pPr>
        <w:spacing w:after="40" w:before="0" w:line="276" w:lineRule="auto"/>
      </w:pPr>
    </w:p>
    <w:p>
      <w:pPr>
        <w:spacing w:after="80" w:before="240" w:line="276" w:lineRule="auto"/>
        <w:pBdr>
          <w:bottom w:val="single" w:sz="4" w:color="9AA0A6"/>
        </w:pBdr>
      </w:pPr>
      <w:r>
        <w:rPr>
          <w:rFonts w:ascii="Arial" w:hAnsi="Arial" w:eastAsia="Arial"/>
          <w:b/>
          <w:i w:val="0"/>
          <w:color w:val="1F2328"/>
          <w:sz w:val="26"/>
        </w:rPr>
        <w:t>Constraints and mandatories</w:t>
      </w:r>
    </w:p>
    <w:p>
      <w:pPr>
        <w:pStyle w:val="ListBullet"/>
        <w:spacing w:after="60"/>
      </w:pPr>
      <w:r>
        <w:rPr>
          <w:rFonts w:ascii="Arial" w:hAnsi="Arial" w:eastAsia="Arial"/>
          <w:b/>
          <w:i w:val="0"/>
          <w:color w:val="1F2328"/>
          <w:sz w:val="20"/>
        </w:rPr>
        <w:t>Mid-premium only.</w:t>
      </w:r>
      <w:r>
        <w:rPr>
          <w:rFonts w:ascii="Arial" w:hAnsi="Arial" w:eastAsia="Arial"/>
          <w:b w:val="0"/>
          <w:i w:val="0"/>
          <w:color w:val="1F2328"/>
          <w:sz w:val="20"/>
        </w:rPr>
        <w:t xml:space="preserve"> Devices priced £300 to £800. No budget phones.</w:t>
      </w:r>
    </w:p>
    <w:p>
      <w:pPr>
        <w:pStyle w:val="ListBullet"/>
        <w:spacing w:after="60"/>
      </w:pPr>
      <w:r>
        <w:rPr>
          <w:rFonts w:ascii="Arial" w:hAnsi="Arial" w:eastAsia="Arial"/>
          <w:b/>
          <w:i w:val="0"/>
          <w:color w:val="1F2328"/>
          <w:sz w:val="20"/>
        </w:rPr>
        <w:t>No nostalgia as the reason to buy.</w:t>
      </w:r>
      <w:r>
        <w:rPr>
          <w:rFonts w:ascii="Arial" w:hAnsi="Arial" w:eastAsia="Arial"/>
          <w:b w:val="0"/>
          <w:i w:val="0"/>
          <w:color w:val="1F2328"/>
          <w:sz w:val="20"/>
        </w:rPr>
        <w:t xml:space="preserve"> The 3310, Snake and the ringtone can appear as texture; the case to buy must stand without them.</w:t>
      </w:r>
    </w:p>
    <w:p>
      <w:pPr>
        <w:pStyle w:val="ListBullet"/>
        <w:spacing w:after="60"/>
      </w:pPr>
      <w:r>
        <w:rPr>
          <w:rFonts w:ascii="Arial" w:hAnsi="Arial" w:eastAsia="Arial"/>
          <w:b/>
          <w:i w:val="0"/>
          <w:color w:val="1F2328"/>
          <w:sz w:val="20"/>
        </w:rPr>
        <w:t>Corporate brand first.</w:t>
      </w:r>
      <w:r>
        <w:rPr>
          <w:rFonts w:ascii="Arial" w:hAnsi="Arial" w:eastAsia="Arial"/>
          <w:b w:val="0"/>
          <w:i w:val="0"/>
          <w:color w:val="1F2328"/>
          <w:sz w:val="20"/>
        </w:rPr>
        <w:t xml:space="preserve"> Any phone must strengthen the Nokia name with operators and investors. Reputational risk counts for more than revenue.</w:t>
      </w:r>
    </w:p>
    <w:p>
      <w:pPr>
        <w:pStyle w:val="ListBullet"/>
        <w:spacing w:after="60"/>
      </w:pPr>
      <w:r>
        <w:rPr>
          <w:rFonts w:ascii="Arial" w:hAnsi="Arial" w:eastAsia="Arial"/>
          <w:b/>
          <w:i w:val="0"/>
          <w:color w:val="1F2328"/>
          <w:sz w:val="20"/>
        </w:rPr>
        <w:t>Licensed model.</w:t>
      </w:r>
      <w:r>
        <w:rPr>
          <w:rFonts w:ascii="Arial" w:hAnsi="Arial" w:eastAsia="Arial"/>
          <w:b w:val="0"/>
          <w:i w:val="0"/>
          <w:color w:val="1F2328"/>
          <w:sz w:val="20"/>
        </w:rPr>
        <w:t xml:space="preserve"> A partner builds and sells the phone. Nokia controls the name, the positioning and the brand standards.</w:t>
      </w:r>
    </w:p>
    <w:p>
      <w:pPr>
        <w:pStyle w:val="ListBullet"/>
        <w:spacing w:after="60"/>
      </w:pPr>
      <w:r>
        <w:rPr>
          <w:rFonts w:ascii="Arial" w:hAnsi="Arial" w:eastAsia="Arial"/>
          <w:b/>
          <w:i w:val="0"/>
          <w:color w:val="1F2328"/>
          <w:sz w:val="20"/>
        </w:rPr>
        <w:t>Distribution in year one:</w:t>
      </w:r>
      <w:r>
        <w:rPr>
          <w:rFonts w:ascii="Arial" w:hAnsi="Arial" w:eastAsia="Arial"/>
          <w:b w:val="0"/>
          <w:i w:val="0"/>
          <w:color w:val="1F2328"/>
          <w:sz w:val="20"/>
        </w:rPr>
        <w:t xml:space="preserve"> Currys, Amazon UK and at least two UK networks.</w:t>
      </w:r>
    </w:p>
    <w:p>
      <w:pPr>
        <w:spacing w:after="40" w:before="0" w:line="276" w:lineRule="auto"/>
      </w:pPr>
    </w:p>
    <w:p>
      <w:pPr>
        <w:spacing w:after="80" w:before="240" w:line="276" w:lineRule="auto"/>
        <w:pBdr>
          <w:bottom w:val="single" w:sz="4" w:color="9AA0A6"/>
        </w:pBdr>
      </w:pPr>
      <w:r>
        <w:rPr>
          <w:rFonts w:ascii="Arial" w:hAnsi="Arial" w:eastAsia="Arial"/>
          <w:b/>
          <w:i w:val="0"/>
          <w:color w:val="1F2328"/>
          <w:sz w:val="26"/>
        </w:rPr>
        <w:t>What we do not want</w:t>
      </w:r>
    </w:p>
    <w:p>
      <w:pPr>
        <w:pStyle w:val="ListBullet"/>
        <w:spacing w:after="60"/>
      </w:pPr>
      <w:r>
        <w:rPr>
          <w:rFonts w:ascii="Arial" w:hAnsi="Arial" w:eastAsia="Arial"/>
          <w:b w:val="0"/>
          <w:i w:val="0"/>
          <w:color w:val="1F2328"/>
          <w:sz w:val="20"/>
        </w:rPr>
        <w:t>Another “Nokia is back” campaign. The UK has heard it, and HMD’s results show it does not sell phones.</w:t>
      </w:r>
    </w:p>
    <w:p>
      <w:pPr>
        <w:pStyle w:val="ListBullet"/>
        <w:spacing w:after="60"/>
      </w:pPr>
      <w:r>
        <w:rPr>
          <w:rFonts w:ascii="Arial" w:hAnsi="Arial" w:eastAsia="Arial"/>
          <w:b w:val="0"/>
          <w:i w:val="0"/>
          <w:color w:val="1F2328"/>
          <w:sz w:val="20"/>
        </w:rPr>
        <w:t>A specification race against Chinese manufacturers.</w:t>
      </w:r>
    </w:p>
    <w:p>
      <w:pPr>
        <w:pStyle w:val="ListBullet"/>
        <w:spacing w:after="60"/>
      </w:pPr>
      <w:r>
        <w:rPr>
          <w:rFonts w:ascii="Arial" w:hAnsi="Arial" w:eastAsia="Arial"/>
          <w:b w:val="0"/>
          <w:i w:val="0"/>
          <w:color w:val="1F2328"/>
          <w:sz w:val="20"/>
        </w:rPr>
        <w:t>Sustainability as the headline. It tests well and changes little at the till.</w:t>
      </w:r>
    </w:p>
    <w:p>
      <w:pPr>
        <w:pStyle w:val="ListBullet"/>
        <w:spacing w:after="60"/>
      </w:pPr>
      <w:r>
        <w:rPr>
          <w:rFonts w:ascii="Arial" w:hAnsi="Arial" w:eastAsia="Arial"/>
          <w:b w:val="0"/>
          <w:i w:val="0"/>
          <w:color w:val="1F2328"/>
          <w:sz w:val="20"/>
        </w:rPr>
        <w:t>An “AI phone” borrowed from the corporate story. Every manufacturer now claims one.</w:t>
      </w:r>
    </w:p>
    <w:p>
      <w:pPr>
        <w:spacing w:after="40" w:before="0" w:line="276" w:lineRule="auto"/>
      </w:pPr>
    </w:p>
    <w:p>
      <w:pPr>
        <w:spacing w:after="80" w:before="240" w:line="276" w:lineRule="auto"/>
        <w:pBdr>
          <w:bottom w:val="single" w:sz="4" w:color="9AA0A6"/>
        </w:pBdr>
      </w:pPr>
      <w:r>
        <w:rPr>
          <w:rFonts w:ascii="Arial" w:hAnsi="Arial" w:eastAsia="Arial"/>
          <w:b/>
          <w:i w:val="0"/>
          <w:color w:val="1F2328"/>
          <w:sz w:val="26"/>
        </w:rPr>
        <w:t>How we will judge success</w:t>
      </w:r>
    </w:p>
    <w:tbl>
      <w:tblPr>
        <w:tblW w:type="auto" w:w="0"/>
        <w:tblLook w:firstColumn="1" w:firstRow="1" w:lastColumn="0" w:lastRow="0" w:noHBand="0" w:noVBand="1" w:val="04A0"/>
        <w:jc w:val="left"/>
        <w:tblBorders>
          <w:top w:val="single" w:sz="4" w:color="BFC4C9"/>
          <w:left w:val="single" w:sz="4" w:color="BFC4C9"/>
          <w:bottom w:val="single" w:sz="4" w:color="BFC4C9"/>
          <w:right w:val="single" w:sz="4" w:color="BFC4C9"/>
          <w:insideH w:val="single" w:sz="4" w:color="BFC4C9"/>
          <w:insideV w:val="single" w:sz="4" w:color="BFC4C9"/>
        </w:tblBorders>
        <w:tblCellMar>
          <w:top w:w="60" w:type="dxa"/>
          <w:left w:w="100" w:type="dxa"/>
          <w:bottom w:w="60" w:type="dxa"/>
          <w:right w:w="100" w:type="dxa"/>
        </w:tblCellMar>
      </w:tblPr>
      <w:tblGrid>
        <w:gridCol w:w="2353"/>
        <w:gridCol w:w="2353"/>
        <w:gridCol w:w="2353"/>
        <w:gridCol w:w="2353"/>
      </w:tblGrid>
      <w:tr>
        <w:tc>
          <w:tcPr>
            <w:tcW w:type="dxa" w:w="2353"/>
            <w:shd w:val="clear" w:color="auto" w:fill="E7E9EB"/>
          </w:tcPr>
          <w:p>
            <w:pPr>
              <w:spacing w:after="0"/>
            </w:pPr>
            <w:r>
              <w:rPr>
                <w:rFonts w:ascii="Arial" w:hAnsi="Arial" w:eastAsia="Arial"/>
                <w:b/>
                <w:i w:val="0"/>
                <w:color w:val="1F2328"/>
                <w:sz w:val="18"/>
              </w:rPr>
              <w:t>Measure</w:t>
            </w:r>
          </w:p>
        </w:tc>
        <w:tc>
          <w:tcPr>
            <w:tcW w:type="dxa" w:w="2353"/>
            <w:shd w:val="clear" w:color="auto" w:fill="E7E9EB"/>
          </w:tcPr>
          <w:p>
            <w:pPr>
              <w:spacing w:after="0"/>
            </w:pPr>
            <w:r>
              <w:rPr>
                <w:rFonts w:ascii="Arial" w:hAnsi="Arial" w:eastAsia="Arial"/>
                <w:b/>
                <w:i w:val="0"/>
                <w:color w:val="1F2328"/>
                <w:sz w:val="18"/>
              </w:rPr>
              <w:t>Today</w:t>
            </w:r>
          </w:p>
        </w:tc>
        <w:tc>
          <w:tcPr>
            <w:tcW w:type="dxa" w:w="2353"/>
            <w:shd w:val="clear" w:color="auto" w:fill="E7E9EB"/>
          </w:tcPr>
          <w:p>
            <w:pPr>
              <w:spacing w:after="0"/>
            </w:pPr>
            <w:r>
              <w:rPr>
                <w:rFonts w:ascii="Arial" w:hAnsi="Arial" w:eastAsia="Arial"/>
                <w:b/>
                <w:i w:val="0"/>
                <w:color w:val="1F2328"/>
                <w:sz w:val="18"/>
              </w:rPr>
              <w:t>Year 1 (2028)</w:t>
            </w:r>
          </w:p>
        </w:tc>
        <w:tc>
          <w:tcPr>
            <w:tcW w:type="dxa" w:w="2353"/>
            <w:shd w:val="clear" w:color="auto" w:fill="E7E9EB"/>
          </w:tcPr>
          <w:p>
            <w:pPr>
              <w:spacing w:after="0"/>
            </w:pPr>
            <w:r>
              <w:rPr>
                <w:rFonts w:ascii="Arial" w:hAnsi="Arial" w:eastAsia="Arial"/>
                <w:b/>
                <w:i w:val="0"/>
                <w:color w:val="1F2328"/>
                <w:sz w:val="18"/>
              </w:rPr>
              <w:t>Year 3 (2030)</w:t>
            </w:r>
          </w:p>
        </w:tc>
      </w:tr>
      <w:tr>
        <w:tc>
          <w:tcPr>
            <w:tcW w:type="dxa" w:w="2353"/>
          </w:tcPr>
          <w:p>
            <w:pPr>
              <w:spacing w:after="0"/>
            </w:pPr>
            <w:r>
              <w:rPr>
                <w:rFonts w:ascii="Arial" w:hAnsi="Arial" w:eastAsia="Arial"/>
                <w:b w:val="0"/>
                <w:i w:val="0"/>
                <w:color w:val="1F2328"/>
                <w:sz w:val="18"/>
              </w:rPr>
              <w:t>UK smartphone sales share</w:t>
            </w:r>
          </w:p>
        </w:tc>
        <w:tc>
          <w:tcPr>
            <w:tcW w:type="dxa" w:w="2353"/>
          </w:tcPr>
          <w:p>
            <w:pPr>
              <w:spacing w:after="0"/>
            </w:pPr>
            <w:r>
              <w:rPr>
                <w:rFonts w:ascii="Arial" w:hAnsi="Arial" w:eastAsia="Arial"/>
                <w:b w:val="0"/>
                <w:i w:val="0"/>
                <w:color w:val="1F2328"/>
                <w:sz w:val="18"/>
              </w:rPr>
              <w:t>0%</w:t>
            </w:r>
          </w:p>
        </w:tc>
        <w:tc>
          <w:tcPr>
            <w:tcW w:type="dxa" w:w="2353"/>
          </w:tcPr>
          <w:p>
            <w:pPr>
              <w:spacing w:after="0"/>
            </w:pPr>
            <w:r>
              <w:rPr>
                <w:rFonts w:ascii="Arial" w:hAnsi="Arial" w:eastAsia="Arial"/>
                <w:b w:val="0"/>
                <w:i w:val="0"/>
                <w:color w:val="1F2328"/>
                <w:sz w:val="18"/>
              </w:rPr>
              <w:t>1.5%</w:t>
            </w:r>
          </w:p>
        </w:tc>
        <w:tc>
          <w:tcPr>
            <w:tcW w:type="dxa" w:w="2353"/>
          </w:tcPr>
          <w:p>
            <w:pPr>
              <w:spacing w:after="0"/>
            </w:pPr>
            <w:r>
              <w:rPr>
                <w:rFonts w:ascii="Arial" w:hAnsi="Arial" w:eastAsia="Arial"/>
                <w:b w:val="0"/>
                <w:i w:val="0"/>
                <w:color w:val="1F2328"/>
                <w:sz w:val="18"/>
              </w:rPr>
              <w:t>3%</w:t>
            </w:r>
          </w:p>
        </w:tc>
      </w:tr>
      <w:tr>
        <w:tc>
          <w:tcPr>
            <w:tcW w:type="dxa" w:w="2353"/>
          </w:tcPr>
          <w:p>
            <w:pPr>
              <w:spacing w:after="0"/>
            </w:pPr>
            <w:r>
              <w:rPr>
                <w:rFonts w:ascii="Arial" w:hAnsi="Arial" w:eastAsia="Arial"/>
                <w:b w:val="0"/>
                <w:i w:val="0"/>
                <w:color w:val="1F2328"/>
                <w:sz w:val="18"/>
              </w:rPr>
              <w:t>Consideration among chosen primary segment</w:t>
            </w:r>
          </w:p>
        </w:tc>
        <w:tc>
          <w:tcPr>
            <w:tcW w:type="dxa" w:w="2353"/>
          </w:tcPr>
          <w:p>
            <w:pPr>
              <w:spacing w:after="0"/>
            </w:pPr>
            <w:r>
              <w:rPr>
                <w:rFonts w:ascii="Arial" w:hAnsi="Arial" w:eastAsia="Arial"/>
                <w:b w:val="0"/>
                <w:i w:val="0"/>
                <w:color w:val="1F2328"/>
                <w:sz w:val="18"/>
              </w:rPr>
              <w:t>19% (Lifespan Pragmatists)</w:t>
            </w:r>
          </w:p>
        </w:tc>
        <w:tc>
          <w:tcPr>
            <w:tcW w:type="dxa" w:w="2353"/>
          </w:tcPr>
          <w:p>
            <w:pPr>
              <w:spacing w:after="0"/>
            </w:pPr>
            <w:r>
              <w:rPr>
                <w:rFonts w:ascii="Arial" w:hAnsi="Arial" w:eastAsia="Arial"/>
                <w:b w:val="0"/>
                <w:i w:val="0"/>
                <w:color w:val="1F2328"/>
                <w:sz w:val="18"/>
              </w:rPr>
              <w:t>30%</w:t>
            </w:r>
          </w:p>
        </w:tc>
        <w:tc>
          <w:tcPr>
            <w:tcW w:type="dxa" w:w="2353"/>
          </w:tcPr>
          <w:p>
            <w:pPr>
              <w:spacing w:after="0"/>
            </w:pPr>
            <w:r>
              <w:rPr>
                <w:rFonts w:ascii="Arial" w:hAnsi="Arial" w:eastAsia="Arial"/>
                <w:b w:val="0"/>
                <w:i w:val="0"/>
                <w:color w:val="1F2328"/>
                <w:sz w:val="18"/>
              </w:rPr>
              <w:t>40%</w:t>
            </w:r>
          </w:p>
        </w:tc>
      </w:tr>
      <w:tr>
        <w:tc>
          <w:tcPr>
            <w:tcW w:type="dxa" w:w="2353"/>
          </w:tcPr>
          <w:p>
            <w:pPr>
              <w:spacing w:after="0"/>
            </w:pPr>
            <w:r>
              <w:rPr>
                <w:rFonts w:ascii="Arial" w:hAnsi="Arial" w:eastAsia="Arial"/>
                <w:b w:val="0"/>
                <w:i w:val="0"/>
                <w:color w:val="1F2328"/>
                <w:sz w:val="18"/>
              </w:rPr>
              <w:t>Net Promoter Score among owners</w:t>
            </w:r>
          </w:p>
        </w:tc>
        <w:tc>
          <w:tcPr>
            <w:tcW w:type="dxa" w:w="2353"/>
          </w:tcPr>
          <w:p>
            <w:pPr>
              <w:spacing w:after="0"/>
            </w:pPr>
            <w:r>
              <w:rPr>
                <w:rFonts w:ascii="Arial" w:hAnsi="Arial" w:eastAsia="Arial"/>
                <w:b w:val="0"/>
                <w:i w:val="0"/>
                <w:color w:val="1F2328"/>
                <w:sz w:val="18"/>
              </w:rPr>
              <w:t>n/a</w:t>
            </w:r>
          </w:p>
        </w:tc>
        <w:tc>
          <w:tcPr>
            <w:tcW w:type="dxa" w:w="2353"/>
          </w:tcPr>
          <w:p>
            <w:pPr>
              <w:spacing w:after="0"/>
            </w:pPr>
            <w:r>
              <w:rPr>
                <w:rFonts w:ascii="Arial" w:hAnsi="Arial" w:eastAsia="Arial"/>
                <w:b w:val="0"/>
                <w:i w:val="0"/>
                <w:color w:val="1F2328"/>
                <w:sz w:val="18"/>
              </w:rPr>
              <w:t>+25</w:t>
            </w:r>
          </w:p>
        </w:tc>
        <w:tc>
          <w:tcPr>
            <w:tcW w:type="dxa" w:w="2353"/>
          </w:tcPr>
          <w:p>
            <w:pPr>
              <w:spacing w:after="0"/>
            </w:pPr>
            <w:r>
              <w:rPr>
                <w:rFonts w:ascii="Arial" w:hAnsi="Arial" w:eastAsia="Arial"/>
                <w:b w:val="0"/>
                <w:i w:val="0"/>
                <w:color w:val="1F2328"/>
                <w:sz w:val="18"/>
              </w:rPr>
              <w:t>+30</w:t>
            </w:r>
          </w:p>
        </w:tc>
      </w:tr>
      <w:tr>
        <w:tc>
          <w:tcPr>
            <w:tcW w:type="dxa" w:w="2353"/>
          </w:tcPr>
          <w:p>
            <w:pPr>
              <w:spacing w:after="0"/>
            </w:pPr>
            <w:r>
              <w:rPr>
                <w:rFonts w:ascii="Arial" w:hAnsi="Arial" w:eastAsia="Arial"/>
                <w:b w:val="0"/>
                <w:i w:val="0"/>
                <w:color w:val="1F2328"/>
                <w:sz w:val="18"/>
              </w:rPr>
              <w:t>Corporate brand favourability among UK operators</w:t>
            </w:r>
          </w:p>
        </w:tc>
        <w:tc>
          <w:tcPr>
            <w:tcW w:type="dxa" w:w="2353"/>
          </w:tcPr>
          <w:p>
            <w:pPr>
              <w:spacing w:after="0"/>
            </w:pPr>
            <w:r>
              <w:rPr>
                <w:rFonts w:ascii="Arial" w:hAnsi="Arial" w:eastAsia="Arial"/>
                <w:b w:val="0"/>
                <w:i w:val="0"/>
                <w:color w:val="1F2328"/>
                <w:sz w:val="18"/>
              </w:rPr>
              <w:t>62%</w:t>
            </w:r>
          </w:p>
        </w:tc>
        <w:tc>
          <w:tcPr>
            <w:tcW w:type="dxa" w:w="2353"/>
          </w:tcPr>
          <w:p>
            <w:pPr>
              <w:spacing w:after="0"/>
            </w:pPr>
            <w:r>
              <w:rPr>
                <w:rFonts w:ascii="Arial" w:hAnsi="Arial" w:eastAsia="Arial"/>
                <w:b w:val="0"/>
                <w:i w:val="0"/>
                <w:color w:val="1F2328"/>
                <w:sz w:val="18"/>
              </w:rPr>
              <w:t>62% or higher</w:t>
            </w:r>
          </w:p>
        </w:tc>
        <w:tc>
          <w:tcPr>
            <w:tcW w:type="dxa" w:w="2353"/>
          </w:tcPr>
          <w:p>
            <w:pPr>
              <w:spacing w:after="0"/>
            </w:pPr>
            <w:r>
              <w:rPr>
                <w:rFonts w:ascii="Arial" w:hAnsi="Arial" w:eastAsia="Arial"/>
                <w:b w:val="0"/>
                <w:i w:val="0"/>
                <w:color w:val="1F2328"/>
                <w:sz w:val="18"/>
              </w:rPr>
              <w:t>65%</w:t>
            </w:r>
          </w:p>
        </w:tc>
      </w:tr>
    </w:tbl>
    <w:p>
      <w:pPr>
        <w:spacing w:after="120" w:before="0" w:line="276" w:lineRule="auto"/>
      </w:pPr>
    </w:p>
    <w:p>
      <w:pPr>
        <w:spacing w:after="120" w:before="0" w:line="276" w:lineRule="auto"/>
      </w:pPr>
      <w:r>
        <w:rPr>
          <w:rFonts w:ascii="Arial" w:hAnsi="Arial" w:eastAsia="Arial"/>
          <w:b/>
          <w:i w:val="0"/>
          <w:color w:val="1F2328"/>
          <w:sz w:val="20"/>
        </w:rPr>
        <w:t>Kill criteria.</w:t>
      </w:r>
      <w:r>
        <w:rPr>
          <w:rFonts w:ascii="Arial" w:hAnsi="Arial" w:eastAsia="Arial"/>
          <w:b w:val="0"/>
          <w:i w:val="0"/>
          <w:color w:val="1F2328"/>
          <w:sz w:val="20"/>
        </w:rPr>
        <w:t xml:space="preserve"> Year-one share below 1%, owner NPS below +15, or any fall in corporate brand favourability among operators. Any one ends the licence at the first break point.</w:t>
      </w:r>
    </w:p>
    <w:p>
      <w:pPr>
        <w:spacing w:after="80" w:before="240" w:line="276" w:lineRule="auto"/>
        <w:pBdr>
          <w:bottom w:val="single" w:sz="4" w:color="9AA0A6"/>
        </w:pBdr>
      </w:pPr>
      <w:r>
        <w:rPr>
          <w:rFonts w:ascii="Arial" w:hAnsi="Arial" w:eastAsia="Arial"/>
          <w:b/>
          <w:i w:val="0"/>
          <w:color w:val="1F2328"/>
          <w:sz w:val="26"/>
        </w:rPr>
        <w:t>Timeline</w:t>
      </w:r>
    </w:p>
    <w:p>
      <w:pPr>
        <w:spacing w:after="120" w:before="0" w:line="276" w:lineRule="auto"/>
      </w:pPr>
      <w:r>
        <w:rPr>
          <w:rFonts w:ascii="Arial" w:hAnsi="Arial" w:eastAsia="Arial"/>
          <w:b w:val="0"/>
          <w:i w:val="0"/>
          <w:color w:val="1F2328"/>
          <w:sz w:val="20"/>
        </w:rPr>
        <w:t>Positioning: November 2026 to January 2027. Licence decision: March 2027. If the answer is go, product development through 2027 for a 2028 launch.</w:t>
      </w:r>
    </w:p>
    <w:p>
      <w:pPr>
        <w:spacing w:after="80" w:before="240" w:line="276" w:lineRule="auto"/>
        <w:pBdr>
          <w:bottom w:val="single" w:sz="4" w:color="9AA0A6"/>
        </w:pBdr>
      </w:pPr>
      <w:r>
        <w:rPr>
          <w:rFonts w:ascii="Arial" w:hAnsi="Arial" w:eastAsia="Arial"/>
          <w:b/>
          <w:i w:val="0"/>
          <w:color w:val="1F2328"/>
          <w:sz w:val="26"/>
        </w:rPr>
        <w:t>Public sources used in this brief</w:t>
      </w:r>
    </w:p>
    <w:p>
      <w:pPr>
        <w:pStyle w:val="ListBullet"/>
        <w:spacing w:after="60"/>
      </w:pPr>
      <w:r>
        <w:rPr>
          <w:rFonts w:ascii="Arial" w:hAnsi="Arial" w:eastAsia="Arial"/>
          <w:b w:val="0"/>
          <w:i w:val="0"/>
          <w:color w:val="1F2328"/>
          <w:sz w:val="20"/>
        </w:rPr>
        <w:t>HMD exclusive licence ending March 2026 (heise online, 2025).</w:t>
      </w:r>
    </w:p>
    <w:p>
      <w:pPr>
        <w:pStyle w:val="ListBullet"/>
        <w:spacing w:after="60"/>
      </w:pPr>
      <w:r>
        <w:rPr>
          <w:rFonts w:ascii="Arial" w:hAnsi="Arial" w:eastAsia="Arial"/>
          <w:b w:val="0"/>
          <w:i w:val="0"/>
          <w:color w:val="1F2328"/>
          <w:sz w:val="20"/>
        </w:rPr>
        <w:t>Last Nokia smartphone, the G42, June 2023; HMD focus on its own brand (Nokiamob, April 2025).</w:t>
      </w:r>
    </w:p>
    <w:p>
      <w:pPr>
        <w:pStyle w:val="ListBullet"/>
        <w:spacing w:after="60"/>
      </w:pPr>
      <w:r>
        <w:rPr>
          <w:rFonts w:ascii="Arial" w:hAnsi="Arial" w:eastAsia="Arial"/>
          <w:b w:val="0"/>
          <w:i w:val="0"/>
          <w:color w:val="1F2328"/>
          <w:sz w:val="20"/>
        </w:rPr>
        <w:t>Nokia rebrand and new logo, February 2023 (Dezeen, March 2023).</w:t>
      </w:r>
    </w:p>
    <w:p>
      <w:pPr>
        <w:pStyle w:val="ListBullet"/>
        <w:spacing w:after="60"/>
      </w:pPr>
      <w:r>
        <w:rPr>
          <w:rFonts w:ascii="Arial" w:hAnsi="Arial" w:eastAsia="Arial"/>
          <w:b w:val="0"/>
          <w:i w:val="0"/>
          <w:color w:val="1F2328"/>
          <w:sz w:val="20"/>
        </w:rPr>
        <w:t>Nvidia $1 billion investment; reorganisation from January 2026; chief executive quotation (TechRadar, 20 November 2025).</w:t>
      </w:r>
    </w:p>
    <w:p>
      <w:pPr>
        <w:pStyle w:val="ListBullet"/>
        <w:spacing w:after="60"/>
      </w:pPr>
      <w:r>
        <w:rPr>
          <w:rFonts w:ascii="Arial" w:hAnsi="Arial" w:eastAsia="Arial"/>
          <w:b w:val="0"/>
          <w:i w:val="0"/>
          <w:color w:val="1F2328"/>
          <w:sz w:val="20"/>
        </w:rPr>
        <w:t>UK vendor share of phones in use, September 2026 (StatCounter).</w:t>
      </w:r>
    </w:p>
    <w:p>
      <w:pPr>
        <w:pStyle w:val="ListBullet"/>
        <w:spacing w:after="60"/>
      </w:pPr>
      <w:r>
        <w:rPr>
          <w:rFonts w:ascii="Arial" w:hAnsi="Arial" w:eastAsia="Arial"/>
          <w:b w:val="0"/>
          <w:i w:val="0"/>
          <w:color w:val="1F2328"/>
          <w:sz w:val="20"/>
        </w:rPr>
        <w:t>EU ecodesign rules for smartphones from June 2025 (heise online, 2025). Seven-year update policies (Tom’s Guide, 2025).</w:t>
      </w:r>
    </w:p>
    <w:p>
      <w:pPr>
        <w:spacing w:after="40" w:before="0" w:line="276" w:lineRule="auto"/>
      </w:pP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eastAsia="Arial"/>
        <w:b w:val="0"/>
        <w:i w:val="0"/>
        <w:color w:val="5F666D"/>
        <w:sz w:val="14"/>
      </w:rPr>
      <w:t>Illustrative case study. Not produced by, affiliated with or endorsed by Nokia Corporation. Market facts are drawn from public sources; research figures, verbatims and names are illustrative.</w:t>
    </w:r>
  </w:p>
  <w:p>
    <w:pPr>
      <w:jc w:val="right"/>
    </w:pPr>
    <w:r>
      <w:rPr>
        <w:rFonts w:ascii="Arial" w:hAnsi="Arial" w:eastAsia="Arial"/>
        <w:b w:val="0"/>
        <w:i w:val="0"/>
        <w:color w:val="5F666D"/>
        <w:sz w:val="16"/>
      </w:rPr>
      <w:t xml:space="preserve">Page </w:t>
    </w:r>
    <w:r>
      <w:rPr>
        <w:rFonts w:ascii="Arial" w:hAnsi="Arial"/>
        <w:color w:val="5F666D"/>
        <w:sz w:val="16"/>
      </w:rPr>
      <w:fldChar w:fldCharType="begin"/>
    </w:r>
    <w:r>
      <w:rPr>
        <w:rFonts w:ascii="Arial" w:hAnsi="Arial"/>
        <w:color w:val="5F666D"/>
        <w:sz w:val="16"/>
      </w:rPr>
      <w:instrText xml:space="preserve">PAGE</w:instrText>
    </w:r>
    <w:r>
      <w:rPr>
        <w:rFonts w:ascii="Arial" w:hAnsi="Arial"/>
        <w:color w:val="5F666D"/>
        <w:sz w:val="16"/>
      </w:rPr>
      <w:fldChar w:fldCharType="end"/>
    </w:r>
    <w:r>
      <w:rPr>
        <w:rFonts w:ascii="Arial" w:hAnsi="Arial" w:eastAsia="Arial"/>
        <w:b w:val="0"/>
        <w:i w:val="0"/>
        <w:color w:val="5F666D"/>
        <w:sz w:val="16"/>
      </w:rPr>
      <w:t xml:space="preserve"> of </w:t>
    </w:r>
    <w:r>
      <w:rPr>
        <w:rFonts w:ascii="Arial" w:hAnsi="Arial"/>
        <w:color w:val="5F666D"/>
        <w:sz w:val="16"/>
      </w:rPr>
      <w:fldChar w:fldCharType="begin"/>
    </w:r>
    <w:r>
      <w:rPr>
        <w:rFonts w:ascii="Arial" w:hAnsi="Arial"/>
        <w:color w:val="5F666D"/>
        <w:sz w:val="16"/>
      </w:rPr>
      <w:instrText xml:space="preserve">NUMPAGES</w:instrText>
    </w:r>
    <w:r>
      <w:rPr>
        <w:rFonts w:ascii="Arial" w:hAnsi="Arial"/>
        <w:color w:val="5F666D"/>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eastAsia="Arial"/>
        <w:b/>
        <w:i w:val="0"/>
        <w:color w:val="5F666D"/>
        <w:sz w:val="15"/>
      </w:rPr>
      <w:t>ILLUSTRATIVE CASE STUDY</w:t>
    </w:r>
    <w:r>
      <w:rPr>
        <w:rFonts w:ascii="Arial" w:hAnsi="Arial" w:eastAsia="Arial"/>
        <w:b w:val="0"/>
        <w:i w:val="0"/>
        <w:color w:val="5F666D"/>
        <w:sz w:val="15"/>
      </w:rPr>
      <w:t xml:space="preserve">   |   Nokia | Brand strategy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Nokia: what should the name stand for on a phone?</dc:title>
  <dc:subject/>
  <dc:creator>Threader Technologies (illustrative case study)</dc:creator>
  <cp:keywords/>
  <dc:description>generated by python-docx</dc:description>
  <cp:lastModifiedBy/>
  <cp:revision>1</cp:revision>
  <dcterms:created xsi:type="dcterms:W3CDTF">2013-12-23T23:15:00Z</dcterms:created>
  <dcterms:modified xsi:type="dcterms:W3CDTF">2013-12-23T23:15:00Z</dcterms:modified>
  <cp:category/>
</cp:coreProperties>
</file>