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276" w:lineRule="auto"/>
      </w:pPr>
      <w:r>
        <w:rPr>
          <w:rFonts w:ascii="Arial" w:hAnsi="Arial" w:eastAsia="Arial"/>
          <w:b/>
          <w:i w:val="0"/>
          <w:color w:val="5F666D"/>
          <w:sz w:val="18"/>
        </w:rPr>
        <w:t>CONSUMER RESEARCH</w:t>
      </w:r>
    </w:p>
    <w:p>
      <w:pPr>
        <w:spacing w:after="40" w:before="0" w:line="276" w:lineRule="auto"/>
      </w:pPr>
      <w:r>
        <w:rPr>
          <w:rFonts w:ascii="Arial" w:hAnsi="Arial" w:eastAsia="Arial"/>
          <w:b/>
          <w:i w:val="0"/>
          <w:color w:val="1F2328"/>
          <w:sz w:val="40"/>
        </w:rPr>
        <w:t>Nokia UK Phone Buyer Study</w:t>
      </w:r>
    </w:p>
    <w:p>
      <w:pPr>
        <w:spacing w:after="200" w:before="0" w:line="276" w:lineRule="auto"/>
      </w:pPr>
      <w:r>
        <w:rPr>
          <w:rFonts w:ascii="Arial" w:hAnsi="Arial" w:eastAsia="Arial"/>
          <w:b w:val="0"/>
          <w:i w:val="0"/>
          <w:color w:val="5F666D"/>
          <w:sz w:val="24"/>
        </w:rPr>
        <w:t>How UK smartphone buyers see Nokia, by segment</w:t>
      </w:r>
    </w:p>
    <w:tbl>
      <w:tblPr>
        <w:tblW w:type="auto" w:w="0"/>
        <w:tblLook w:firstColumn="1" w:firstRow="1" w:lastColumn="0" w:lastRow="0" w:noHBand="0" w:noVBand="1" w:val="04A0"/>
        <w:tblBorders>
          <w:top w:val="single" w:sz="4" w:color="D5D9DD"/>
          <w:left w:val="single" w:sz="4" w:color="D5D9DD"/>
          <w:bottom w:val="single" w:sz="4" w:color="D5D9DD"/>
          <w:right w:val="single" w:sz="4" w:color="D5D9DD"/>
          <w:insideH w:val="single" w:sz="4" w:color="D5D9DD"/>
          <w:insideV w:val="single" w:sz="4" w:color="D5D9DD"/>
        </w:tblBorders>
        <w:tblCellMar>
          <w:top w:w="60" w:type="dxa"/>
          <w:left w:w="100" w:type="dxa"/>
          <w:bottom w:w="60" w:type="dxa"/>
          <w:right w:w="100" w:type="dxa"/>
        </w:tblCellMar>
      </w:tblPr>
      <w:tblGrid>
        <w:gridCol w:w="4706"/>
        <w:gridCol w:w="4706"/>
      </w:tblGrid>
      <w:tr>
        <w:tc>
          <w:tcPr>
            <w:tcW w:type="dxa" w:w="4706"/>
            <w:shd w:val="clear" w:color="auto" w:fill="F7F8F9"/>
          </w:tcPr>
          <w:p>
            <w:pPr>
              <w:spacing w:after="0"/>
            </w:pPr>
            <w:r>
              <w:rPr>
                <w:rFonts w:ascii="Arial" w:hAnsi="Arial" w:eastAsia="Arial"/>
                <w:b/>
                <w:i w:val="0"/>
                <w:color w:val="1F2328"/>
                <w:sz w:val="18"/>
              </w:rPr>
              <w:t xml:space="preserve">Client: </w:t>
            </w:r>
            <w:r>
              <w:rPr>
                <w:rFonts w:ascii="Arial" w:hAnsi="Arial" w:eastAsia="Arial"/>
                <w:b w:val="0"/>
                <w:i w:val="0"/>
                <w:color w:val="1F2328"/>
                <w:sz w:val="18"/>
              </w:rPr>
              <w:t>Nokia Corporation</w:t>
            </w:r>
          </w:p>
        </w:tc>
        <w:tc>
          <w:tcPr>
            <w:tcW w:type="dxa" w:w="4706"/>
            <w:shd w:val="clear" w:color="auto" w:fill="F7F8F9"/>
          </w:tcPr>
          <w:p>
            <w:pPr>
              <w:spacing w:after="0"/>
            </w:pPr>
            <w:r>
              <w:rPr>
                <w:rFonts w:ascii="Arial" w:hAnsi="Arial" w:eastAsia="Arial"/>
                <w:b/>
                <w:i w:val="0"/>
                <w:color w:val="1F2328"/>
                <w:sz w:val="18"/>
              </w:rPr>
              <w:t xml:space="preserve">Date: </w:t>
            </w:r>
            <w:r>
              <w:rPr>
                <w:rFonts w:ascii="Arial" w:hAnsi="Arial" w:eastAsia="Arial"/>
                <w:b w:val="0"/>
                <w:i w:val="0"/>
                <w:color w:val="1F2328"/>
                <w:sz w:val="18"/>
              </w:rPr>
              <w:t>September 2026</w:t>
            </w:r>
          </w:p>
        </w:tc>
      </w:tr>
      <w:tr>
        <w:tc>
          <w:tcPr>
            <w:tcW w:type="dxa" w:w="4706"/>
            <w:shd w:val="clear" w:color="auto" w:fill="F7F8F9"/>
          </w:tcPr>
          <w:p>
            <w:pPr>
              <w:spacing w:after="0"/>
            </w:pPr>
            <w:r>
              <w:rPr>
                <w:rFonts w:ascii="Arial" w:hAnsi="Arial" w:eastAsia="Arial"/>
                <w:b/>
                <w:i w:val="0"/>
                <w:color w:val="1F2328"/>
                <w:sz w:val="18"/>
              </w:rPr>
              <w:t xml:space="preserve">Study: </w:t>
            </w:r>
            <w:r>
              <w:rPr>
                <w:rFonts w:ascii="Arial" w:hAnsi="Arial" w:eastAsia="Arial"/>
                <w:b w:val="0"/>
                <w:i w:val="0"/>
                <w:color w:val="1F2328"/>
                <w:sz w:val="18"/>
              </w:rPr>
              <w:t>UK Phone Buyer Study</w:t>
            </w:r>
          </w:p>
        </w:tc>
        <w:tc>
          <w:tcPr>
            <w:tcW w:type="dxa" w:w="4706"/>
            <w:shd w:val="clear" w:color="auto" w:fill="F7F8F9"/>
          </w:tcPr>
          <w:p>
            <w:pPr>
              <w:spacing w:after="0"/>
            </w:pPr>
            <w:r>
              <w:rPr>
                <w:rFonts w:ascii="Arial" w:hAnsi="Arial" w:eastAsia="Arial"/>
                <w:b/>
                <w:i w:val="0"/>
                <w:color w:val="1F2328"/>
                <w:sz w:val="18"/>
              </w:rPr>
              <w:t xml:space="preserve">Method: </w:t>
            </w:r>
            <w:r>
              <w:rPr>
                <w:rFonts w:ascii="Arial" w:hAnsi="Arial" w:eastAsia="Arial"/>
                <w:b w:val="0"/>
                <w:i w:val="0"/>
                <w:color w:val="1F2328"/>
                <w:sz w:val="18"/>
              </w:rPr>
              <w:t>Online survey, n=2,412 UK smartphone owners; eight focus groups (64 people)</w:t>
            </w:r>
          </w:p>
        </w:tc>
      </w:tr>
      <w:tr>
        <w:tc>
          <w:tcPr>
            <w:tcW w:type="dxa" w:w="4706"/>
            <w:shd w:val="clear" w:color="auto" w:fill="F7F8F9"/>
          </w:tcPr>
          <w:p>
            <w:pPr>
              <w:spacing w:after="0"/>
            </w:pPr>
            <w:r>
              <w:rPr>
                <w:rFonts w:ascii="Arial" w:hAnsi="Arial" w:eastAsia="Arial"/>
                <w:b/>
                <w:i w:val="0"/>
                <w:color w:val="1F2328"/>
                <w:sz w:val="18"/>
              </w:rPr>
              <w:t xml:space="preserve">Market: </w:t>
            </w:r>
            <w:r>
              <w:rPr>
                <w:rFonts w:ascii="Arial" w:hAnsi="Arial" w:eastAsia="Arial"/>
                <w:b w:val="0"/>
                <w:i w:val="0"/>
                <w:color w:val="1F2328"/>
                <w:sz w:val="18"/>
              </w:rPr>
              <w:t>United Kingdom</w:t>
            </w:r>
          </w:p>
        </w:tc>
        <w:tc>
          <w:tcPr>
            <w:tcW w:type="dxa" w:w="4706"/>
            <w:shd w:val="clear" w:color="auto" w:fill="F7F8F9"/>
          </w:tcPr>
          <w:p>
            <w:pPr>
              <w:spacing w:after="0"/>
            </w:pPr>
            <w:r>
              <w:rPr>
                <w:rFonts w:ascii="Arial" w:hAnsi="Arial" w:eastAsia="Arial"/>
                <w:b/>
                <w:i w:val="0"/>
                <w:color w:val="1F2328"/>
                <w:sz w:val="18"/>
              </w:rPr>
              <w:t xml:space="preserve">Fieldwork: </w:t>
            </w:r>
            <w:r>
              <w:rPr>
                <w:rFonts w:ascii="Arial" w:hAnsi="Arial" w:eastAsia="Arial"/>
                <w:b w:val="0"/>
                <w:i w:val="0"/>
                <w:color w:val="1F2328"/>
                <w:sz w:val="18"/>
              </w:rPr>
              <w:t>July to August 2026</w:t>
            </w:r>
          </w:p>
        </w:tc>
      </w:tr>
    </w:tbl>
    <w:p>
      <w:pPr>
        <w:spacing w:after="80" w:before="0" w:line="276" w:lineRule="auto"/>
      </w:pPr>
    </w:p>
    <w:p>
      <w:pPr>
        <w:spacing w:after="80" w:before="240" w:line="276" w:lineRule="auto"/>
        <w:pBdr>
          <w:bottom w:val="single" w:sz="4" w:color="9AA0A6"/>
        </w:pBdr>
      </w:pPr>
      <w:r>
        <w:rPr>
          <w:rFonts w:ascii="Arial" w:hAnsi="Arial" w:eastAsia="Arial"/>
          <w:b/>
          <w:i w:val="0"/>
          <w:color w:val="1F2328"/>
          <w:sz w:val="26"/>
        </w:rPr>
        <w:t>Summary</w:t>
      </w:r>
    </w:p>
    <w:p>
      <w:pPr>
        <w:spacing w:after="120" w:before="0" w:line="276" w:lineRule="auto"/>
      </w:pPr>
      <w:r>
        <w:rPr>
          <w:rFonts w:ascii="Arial" w:hAnsi="Arial" w:eastAsia="Arial"/>
          <w:b w:val="0"/>
          <w:i w:val="0"/>
          <w:color w:val="1F2328"/>
          <w:sz w:val="20"/>
        </w:rPr>
        <w:t>UK buyers remember Nokia kindly and have no plans to buy one. Nokia’s associations are reliability, durability and simplicity, the same qualities a fifth of the market says it cannot find in today’s phones. Whether that fifth will pay mid-premium prices for a Nokia depends on which buyers it is, and on whether durability can sound modern.</w:t>
      </w:r>
    </w:p>
    <w:p>
      <w:pPr>
        <w:spacing w:after="120" w:before="0" w:line="276" w:lineRule="auto"/>
      </w:pPr>
      <w:r>
        <w:rPr>
          <w:rFonts w:ascii="Arial" w:hAnsi="Arial" w:eastAsia="Arial"/>
          <w:b w:val="0"/>
          <w:i w:val="0"/>
          <w:color w:val="1F2328"/>
          <w:sz w:val="20"/>
        </w:rPr>
        <w:t>Three behavioural segments respond to Nokia in different ways.</w:t>
      </w:r>
    </w:p>
    <w:tbl>
      <w:tblPr>
        <w:tblW w:type="auto" w:w="0"/>
        <w:tblLook w:firstColumn="1" w:firstRow="1" w:lastColumn="0" w:lastRow="0" w:noHBand="0" w:noVBand="1" w:val="04A0"/>
        <w:jc w:val="left"/>
        <w:tblBorders>
          <w:top w:val="single" w:sz="4" w:color="BFC4C9"/>
          <w:left w:val="single" w:sz="4" w:color="BFC4C9"/>
          <w:bottom w:val="single" w:sz="4" w:color="BFC4C9"/>
          <w:right w:val="single" w:sz="4" w:color="BFC4C9"/>
          <w:insideH w:val="single" w:sz="4" w:color="BFC4C9"/>
          <w:insideV w:val="single" w:sz="4" w:color="BFC4C9"/>
        </w:tblBorders>
        <w:tblCellMar>
          <w:top w:w="60" w:type="dxa"/>
          <w:left w:w="100" w:type="dxa"/>
          <w:bottom w:w="60" w:type="dxa"/>
          <w:right w:w="100" w:type="dxa"/>
        </w:tblCellMar>
      </w:tblPr>
      <w:tblGrid>
        <w:gridCol w:w="1882"/>
        <w:gridCol w:w="1882"/>
        <w:gridCol w:w="1882"/>
        <w:gridCol w:w="1882"/>
        <w:gridCol w:w="1882"/>
      </w:tblGrid>
      <w:tr>
        <w:tc>
          <w:tcPr>
            <w:tcW w:type="dxa" w:w="1882"/>
            <w:shd w:val="clear" w:color="auto" w:fill="E7E9EB"/>
          </w:tcPr>
          <w:p>
            <w:pPr>
              <w:spacing w:after="0"/>
            </w:pPr>
            <w:r>
              <w:rPr>
                <w:rFonts w:ascii="Arial" w:hAnsi="Arial" w:eastAsia="Arial"/>
                <w:b/>
                <w:i w:val="0"/>
                <w:color w:val="1F2328"/>
                <w:sz w:val="18"/>
              </w:rPr>
              <w:t>Segment</w:t>
            </w:r>
          </w:p>
        </w:tc>
        <w:tc>
          <w:tcPr>
            <w:tcW w:type="dxa" w:w="1882"/>
            <w:shd w:val="clear" w:color="auto" w:fill="E7E9EB"/>
          </w:tcPr>
          <w:p>
            <w:pPr>
              <w:spacing w:after="0"/>
            </w:pPr>
            <w:r>
              <w:rPr>
                <w:rFonts w:ascii="Arial" w:hAnsi="Arial" w:eastAsia="Arial"/>
                <w:b/>
                <w:i w:val="0"/>
                <w:color w:val="1F2328"/>
                <w:sz w:val="18"/>
              </w:rPr>
              <w:t>Share of buyers</w:t>
            </w:r>
          </w:p>
        </w:tc>
        <w:tc>
          <w:tcPr>
            <w:tcW w:type="dxa" w:w="1882"/>
            <w:shd w:val="clear" w:color="auto" w:fill="E7E9EB"/>
          </w:tcPr>
          <w:p>
            <w:pPr>
              <w:spacing w:after="0"/>
            </w:pPr>
            <w:r>
              <w:rPr>
                <w:rFonts w:ascii="Arial" w:hAnsi="Arial" w:eastAsia="Arial"/>
                <w:b/>
                <w:i w:val="0"/>
                <w:color w:val="1F2328"/>
                <w:sz w:val="18"/>
              </w:rPr>
              <w:t>Would consider Nokia</w:t>
            </w:r>
          </w:p>
        </w:tc>
        <w:tc>
          <w:tcPr>
            <w:tcW w:type="dxa" w:w="1882"/>
            <w:shd w:val="clear" w:color="auto" w:fill="E7E9EB"/>
          </w:tcPr>
          <w:p>
            <w:pPr>
              <w:spacing w:after="0"/>
            </w:pPr>
            <w:r>
              <w:rPr>
                <w:rFonts w:ascii="Arial" w:hAnsi="Arial" w:eastAsia="Arial"/>
                <w:b/>
                <w:i w:val="0"/>
                <w:color w:val="1F2328"/>
                <w:sz w:val="18"/>
              </w:rPr>
              <w:t>Typical spend</w:t>
            </w:r>
          </w:p>
        </w:tc>
        <w:tc>
          <w:tcPr>
            <w:tcW w:type="dxa" w:w="1882"/>
            <w:shd w:val="clear" w:color="auto" w:fill="E7E9EB"/>
          </w:tcPr>
          <w:p>
            <w:pPr>
              <w:spacing w:after="0"/>
            </w:pPr>
            <w:r>
              <w:rPr>
                <w:rFonts w:ascii="Arial" w:hAnsi="Arial" w:eastAsia="Arial"/>
                <w:b/>
                <w:i w:val="0"/>
                <w:color w:val="1F2328"/>
                <w:sz w:val="18"/>
              </w:rPr>
              <w:t>Main frustration</w:t>
            </w:r>
          </w:p>
        </w:tc>
      </w:tr>
      <w:tr>
        <w:tc>
          <w:tcPr>
            <w:tcW w:type="dxa" w:w="1882"/>
          </w:tcPr>
          <w:p>
            <w:pPr>
              <w:spacing w:after="0"/>
            </w:pPr>
            <w:r>
              <w:rPr>
                <w:rFonts w:ascii="Arial" w:hAnsi="Arial" w:eastAsia="Arial"/>
                <w:b w:val="0"/>
                <w:i w:val="0"/>
                <w:color w:val="1F2328"/>
                <w:sz w:val="18"/>
              </w:rPr>
              <w:t>Lifespan Pragmatists</w:t>
            </w:r>
          </w:p>
        </w:tc>
        <w:tc>
          <w:tcPr>
            <w:tcW w:type="dxa" w:w="1882"/>
          </w:tcPr>
          <w:p>
            <w:pPr>
              <w:spacing w:after="0"/>
            </w:pPr>
            <w:r>
              <w:rPr>
                <w:rFonts w:ascii="Arial" w:hAnsi="Arial" w:eastAsia="Arial"/>
                <w:b w:val="0"/>
                <w:i w:val="0"/>
                <w:color w:val="1F2328"/>
                <w:sz w:val="18"/>
              </w:rPr>
              <w:t>21%</w:t>
            </w:r>
          </w:p>
        </w:tc>
        <w:tc>
          <w:tcPr>
            <w:tcW w:type="dxa" w:w="1882"/>
          </w:tcPr>
          <w:p>
            <w:pPr>
              <w:spacing w:after="0"/>
            </w:pPr>
            <w:r>
              <w:rPr>
                <w:rFonts w:ascii="Arial" w:hAnsi="Arial" w:eastAsia="Arial"/>
                <w:b w:val="0"/>
                <w:i w:val="0"/>
                <w:color w:val="1F2328"/>
                <w:sz w:val="18"/>
              </w:rPr>
              <w:t>19%</w:t>
            </w:r>
          </w:p>
        </w:tc>
        <w:tc>
          <w:tcPr>
            <w:tcW w:type="dxa" w:w="1882"/>
          </w:tcPr>
          <w:p>
            <w:pPr>
              <w:spacing w:after="0"/>
            </w:pPr>
            <w:r>
              <w:rPr>
                <w:rFonts w:ascii="Arial" w:hAnsi="Arial" w:eastAsia="Arial"/>
                <w:b w:val="0"/>
                <w:i w:val="0"/>
                <w:color w:val="1F2328"/>
                <w:sz w:val="18"/>
              </w:rPr>
              <w:t>£350 to £650</w:t>
            </w:r>
          </w:p>
        </w:tc>
        <w:tc>
          <w:tcPr>
            <w:tcW w:type="dxa" w:w="1882"/>
          </w:tcPr>
          <w:p>
            <w:pPr>
              <w:spacing w:after="0"/>
            </w:pPr>
            <w:r>
              <w:rPr>
                <w:rFonts w:ascii="Arial" w:hAnsi="Arial" w:eastAsia="Arial"/>
                <w:b w:val="0"/>
                <w:i w:val="0"/>
                <w:color w:val="1F2328"/>
                <w:sz w:val="18"/>
              </w:rPr>
              <w:t>Phones that slow down and get replaced after two to three years</w:t>
            </w:r>
          </w:p>
        </w:tc>
      </w:tr>
      <w:tr>
        <w:tc>
          <w:tcPr>
            <w:tcW w:type="dxa" w:w="1882"/>
          </w:tcPr>
          <w:p>
            <w:pPr>
              <w:spacing w:after="0"/>
            </w:pPr>
            <w:r>
              <w:rPr>
                <w:rFonts w:ascii="Arial" w:hAnsi="Arial" w:eastAsia="Arial"/>
                <w:b w:val="0"/>
                <w:i w:val="0"/>
                <w:color w:val="1F2328"/>
                <w:sz w:val="18"/>
              </w:rPr>
              <w:t>Deliberate Disconnectors</w:t>
            </w:r>
          </w:p>
        </w:tc>
        <w:tc>
          <w:tcPr>
            <w:tcW w:type="dxa" w:w="1882"/>
          </w:tcPr>
          <w:p>
            <w:pPr>
              <w:spacing w:after="0"/>
            </w:pPr>
            <w:r>
              <w:rPr>
                <w:rFonts w:ascii="Arial" w:hAnsi="Arial" w:eastAsia="Arial"/>
                <w:b w:val="0"/>
                <w:i w:val="0"/>
                <w:color w:val="1F2328"/>
                <w:sz w:val="18"/>
              </w:rPr>
              <w:t>7%</w:t>
            </w:r>
          </w:p>
        </w:tc>
        <w:tc>
          <w:tcPr>
            <w:tcW w:type="dxa" w:w="1882"/>
          </w:tcPr>
          <w:p>
            <w:pPr>
              <w:spacing w:after="0"/>
            </w:pPr>
            <w:r>
              <w:rPr>
                <w:rFonts w:ascii="Arial" w:hAnsi="Arial" w:eastAsia="Arial"/>
                <w:b w:val="0"/>
                <w:i w:val="0"/>
                <w:color w:val="1F2328"/>
                <w:sz w:val="18"/>
              </w:rPr>
              <w:t>31%</w:t>
            </w:r>
          </w:p>
        </w:tc>
        <w:tc>
          <w:tcPr>
            <w:tcW w:type="dxa" w:w="1882"/>
          </w:tcPr>
          <w:p>
            <w:pPr>
              <w:spacing w:after="0"/>
            </w:pPr>
            <w:r>
              <w:rPr>
                <w:rFonts w:ascii="Arial" w:hAnsi="Arial" w:eastAsia="Arial"/>
                <w:b w:val="0"/>
                <w:i w:val="0"/>
                <w:color w:val="1F2328"/>
                <w:sz w:val="18"/>
              </w:rPr>
              <w:t>£60 to £250</w:t>
            </w:r>
          </w:p>
        </w:tc>
        <w:tc>
          <w:tcPr>
            <w:tcW w:type="dxa" w:w="1882"/>
          </w:tcPr>
          <w:p>
            <w:pPr>
              <w:spacing w:after="0"/>
            </w:pPr>
            <w:r>
              <w:rPr>
                <w:rFonts w:ascii="Arial" w:hAnsi="Arial" w:eastAsia="Arial"/>
                <w:b w:val="0"/>
                <w:i w:val="0"/>
                <w:color w:val="1F2328"/>
                <w:sz w:val="18"/>
              </w:rPr>
              <w:t>Too much screen time; phones built to hold attention</w:t>
            </w:r>
          </w:p>
        </w:tc>
      </w:tr>
      <w:tr>
        <w:tc>
          <w:tcPr>
            <w:tcW w:type="dxa" w:w="1882"/>
          </w:tcPr>
          <w:p>
            <w:pPr>
              <w:spacing w:after="0"/>
            </w:pPr>
            <w:r>
              <w:rPr>
                <w:rFonts w:ascii="Arial" w:hAnsi="Arial" w:eastAsia="Arial"/>
                <w:b w:val="0"/>
                <w:i w:val="0"/>
                <w:color w:val="1F2328"/>
                <w:sz w:val="18"/>
              </w:rPr>
              <w:t>Flagship Loyalists</w:t>
            </w:r>
          </w:p>
        </w:tc>
        <w:tc>
          <w:tcPr>
            <w:tcW w:type="dxa" w:w="1882"/>
          </w:tcPr>
          <w:p>
            <w:pPr>
              <w:spacing w:after="0"/>
            </w:pPr>
            <w:r>
              <w:rPr>
                <w:rFonts w:ascii="Arial" w:hAnsi="Arial" w:eastAsia="Arial"/>
                <w:b w:val="0"/>
                <w:i w:val="0"/>
                <w:color w:val="1F2328"/>
                <w:sz w:val="18"/>
              </w:rPr>
              <w:t>44%</w:t>
            </w:r>
          </w:p>
        </w:tc>
        <w:tc>
          <w:tcPr>
            <w:tcW w:type="dxa" w:w="1882"/>
          </w:tcPr>
          <w:p>
            <w:pPr>
              <w:spacing w:after="0"/>
            </w:pPr>
            <w:r>
              <w:rPr>
                <w:rFonts w:ascii="Arial" w:hAnsi="Arial" w:eastAsia="Arial"/>
                <w:b w:val="0"/>
                <w:i w:val="0"/>
                <w:color w:val="1F2328"/>
                <w:sz w:val="18"/>
              </w:rPr>
              <w:t>3%</w:t>
            </w:r>
          </w:p>
        </w:tc>
        <w:tc>
          <w:tcPr>
            <w:tcW w:type="dxa" w:w="1882"/>
          </w:tcPr>
          <w:p>
            <w:pPr>
              <w:spacing w:after="0"/>
            </w:pPr>
            <w:r>
              <w:rPr>
                <w:rFonts w:ascii="Arial" w:hAnsi="Arial" w:eastAsia="Arial"/>
                <w:b w:val="0"/>
                <w:i w:val="0"/>
                <w:color w:val="1F2328"/>
                <w:sz w:val="18"/>
              </w:rPr>
              <w:t>£800 and above</w:t>
            </w:r>
          </w:p>
        </w:tc>
        <w:tc>
          <w:tcPr>
            <w:tcW w:type="dxa" w:w="1882"/>
          </w:tcPr>
          <w:p>
            <w:pPr>
              <w:spacing w:after="0"/>
            </w:pPr>
            <w:r>
              <w:rPr>
                <w:rFonts w:ascii="Arial" w:hAnsi="Arial" w:eastAsia="Arial"/>
                <w:b w:val="0"/>
                <w:i w:val="0"/>
                <w:color w:val="1F2328"/>
                <w:sz w:val="18"/>
              </w:rPr>
              <w:t>Little; they are happy with their ecosystem</w:t>
            </w:r>
          </w:p>
        </w:tc>
      </w:tr>
      <w:tr>
        <w:tc>
          <w:tcPr>
            <w:tcW w:type="dxa" w:w="1882"/>
          </w:tcPr>
          <w:p>
            <w:pPr>
              <w:spacing w:after="0"/>
            </w:pPr>
            <w:r>
              <w:rPr>
                <w:rFonts w:ascii="Arial" w:hAnsi="Arial" w:eastAsia="Arial"/>
                <w:b w:val="0"/>
                <w:i w:val="0"/>
                <w:color w:val="1F2328"/>
                <w:sz w:val="18"/>
              </w:rPr>
              <w:t>Other buyers</w:t>
            </w:r>
          </w:p>
        </w:tc>
        <w:tc>
          <w:tcPr>
            <w:tcW w:type="dxa" w:w="1882"/>
          </w:tcPr>
          <w:p>
            <w:pPr>
              <w:spacing w:after="0"/>
            </w:pPr>
            <w:r>
              <w:rPr>
                <w:rFonts w:ascii="Arial" w:hAnsi="Arial" w:eastAsia="Arial"/>
                <w:b w:val="0"/>
                <w:i w:val="0"/>
                <w:color w:val="1F2328"/>
                <w:sz w:val="18"/>
              </w:rPr>
              <w:t>28%</w:t>
            </w:r>
          </w:p>
        </w:tc>
        <w:tc>
          <w:tcPr>
            <w:tcW w:type="dxa" w:w="1882"/>
          </w:tcPr>
          <w:p>
            <w:pPr>
              <w:spacing w:after="0"/>
            </w:pPr>
            <w:r>
              <w:rPr>
                <w:rFonts w:ascii="Arial" w:hAnsi="Arial" w:eastAsia="Arial"/>
                <w:b w:val="0"/>
                <w:i w:val="0"/>
                <w:color w:val="1F2328"/>
                <w:sz w:val="18"/>
              </w:rPr>
              <w:t>2%</w:t>
            </w:r>
          </w:p>
        </w:tc>
        <w:tc>
          <w:tcPr>
            <w:tcW w:type="dxa" w:w="1882"/>
          </w:tcPr>
          <w:p>
            <w:pPr>
              <w:spacing w:after="0"/>
            </w:pPr>
            <w:r>
              <w:rPr>
                <w:rFonts w:ascii="Arial" w:hAnsi="Arial" w:eastAsia="Arial"/>
                <w:b w:val="0"/>
                <w:i w:val="0"/>
                <w:color w:val="1F2328"/>
                <w:sz w:val="18"/>
              </w:rPr>
              <w:t>Mixed</w:t>
            </w:r>
          </w:p>
        </w:tc>
        <w:tc>
          <w:tcPr>
            <w:tcW w:type="dxa" w:w="1882"/>
          </w:tcPr>
          <w:p>
            <w:pPr>
              <w:spacing w:after="0"/>
            </w:pPr>
            <w:r>
              <w:rPr>
                <w:rFonts w:ascii="Arial" w:hAnsi="Arial" w:eastAsia="Arial"/>
                <w:b w:val="0"/>
                <w:i w:val="0"/>
                <w:color w:val="1F2328"/>
                <w:sz w:val="18"/>
              </w:rPr>
              <w:t>Mixed</w:t>
            </w:r>
          </w:p>
        </w:tc>
      </w:tr>
    </w:tbl>
    <w:p>
      <w:pPr>
        <w:spacing w:after="160" w:before="40" w:line="276" w:lineRule="auto"/>
      </w:pPr>
      <w:r>
        <w:rPr>
          <w:rFonts w:ascii="Arial" w:hAnsi="Arial" w:eastAsia="Arial"/>
          <w:b w:val="0"/>
          <w:i/>
          <w:color w:val="5F666D"/>
          <w:sz w:val="16"/>
        </w:rPr>
        <w:t>Overall, 8% of UK smartphone buyers would consider Nokia.</w:t>
      </w:r>
    </w:p>
    <w:p>
      <w:pPr>
        <w:spacing w:after="80" w:before="240" w:line="276" w:lineRule="auto"/>
        <w:pBdr>
          <w:bottom w:val="single" w:sz="4" w:color="9AA0A6"/>
        </w:pBdr>
      </w:pPr>
      <w:r>
        <w:rPr>
          <w:rFonts w:ascii="Arial" w:hAnsi="Arial" w:eastAsia="Arial"/>
          <w:b/>
          <w:i w:val="0"/>
          <w:color w:val="1F2328"/>
          <w:sz w:val="26"/>
        </w:rPr>
        <w:t>Segment 1: Lifespan Pragmatists</w:t>
      </w:r>
    </w:p>
    <w:p>
      <w:pPr>
        <w:spacing w:after="120" w:before="0" w:line="276" w:lineRule="auto"/>
      </w:pPr>
      <w:r>
        <w:rPr>
          <w:rFonts w:ascii="Arial" w:hAnsi="Arial" w:eastAsia="Arial"/>
          <w:b/>
          <w:i w:val="0"/>
          <w:color w:val="1F2328"/>
          <w:sz w:val="20"/>
        </w:rPr>
        <w:t>Lifespan Pragmatists</w:t>
      </w:r>
      <w:r>
        <w:rPr>
          <w:rFonts w:ascii="Arial" w:hAnsi="Arial" w:eastAsia="Arial"/>
          <w:b w:val="0"/>
          <w:i w:val="0"/>
          <w:color w:val="1F2328"/>
          <w:sz w:val="20"/>
        </w:rPr>
        <w:t xml:space="preserve"> are UK smartphone owners aged 30 to 55 who want a phone to last. They keep handsets four years or more, replace batteries to keep phones going and resent paying for upgrades they did not ask for. They are mainstream users: they use banking, navigation and work apps daily and expect them to keep working.</w:t>
      </w:r>
    </w:p>
    <w:p>
      <w:pPr>
        <w:pStyle w:val="ListBullet"/>
        <w:spacing w:after="60"/>
      </w:pPr>
      <w:r>
        <w:rPr>
          <w:rFonts w:ascii="Arial" w:hAnsi="Arial" w:eastAsia="Arial"/>
          <w:b/>
          <w:i w:val="0"/>
          <w:color w:val="1F2328"/>
          <w:sz w:val="20"/>
        </w:rPr>
        <w:t>Demographics:</w:t>
      </w:r>
      <w:r>
        <w:rPr>
          <w:rFonts w:ascii="Arial" w:hAnsi="Arial" w:eastAsia="Arial"/>
          <w:b w:val="0"/>
          <w:i w:val="0"/>
          <w:color w:val="1F2328"/>
          <w:sz w:val="20"/>
        </w:rPr>
        <w:t xml:space="preserve"> aged 30 to 55; household income £40,000 to £90,000; 58% currently use mid-range Android, 31% an iPhone that is four or more years old.</w:t>
      </w:r>
    </w:p>
    <w:p>
      <w:pPr>
        <w:pStyle w:val="ListBullet"/>
        <w:spacing w:after="60"/>
      </w:pPr>
      <w:r>
        <w:rPr>
          <w:rFonts w:ascii="Arial" w:hAnsi="Arial" w:eastAsia="Arial"/>
          <w:b/>
          <w:i w:val="0"/>
          <w:color w:val="1F2328"/>
          <w:sz w:val="20"/>
        </w:rPr>
        <w:t>Attitudes:</w:t>
      </w:r>
      <w:r>
        <w:rPr>
          <w:rFonts w:ascii="Arial" w:hAnsi="Arial" w:eastAsia="Arial"/>
          <w:b w:val="0"/>
          <w:i w:val="0"/>
          <w:color w:val="1F2328"/>
          <w:sz w:val="20"/>
        </w:rPr>
        <w:t xml:space="preserve"> 72% agree “phones are designed to be replaced”; 64% would pay more for a phone guaranteed to last five years; 49% have had a phone repaired in the last three years.</w:t>
      </w:r>
    </w:p>
    <w:p>
      <w:pPr>
        <w:pStyle w:val="ListBullet"/>
        <w:spacing w:after="60"/>
      </w:pPr>
      <w:r>
        <w:rPr>
          <w:rFonts w:ascii="Arial" w:hAnsi="Arial" w:eastAsia="Arial"/>
          <w:b/>
          <w:i w:val="0"/>
          <w:color w:val="1F2328"/>
          <w:sz w:val="20"/>
        </w:rPr>
        <w:t>Media habits:</w:t>
      </w:r>
      <w:r>
        <w:rPr>
          <w:rFonts w:ascii="Arial" w:hAnsi="Arial" w:eastAsia="Arial"/>
          <w:b w:val="0"/>
          <w:i w:val="0"/>
          <w:color w:val="1F2328"/>
          <w:sz w:val="20"/>
        </w:rPr>
        <w:t xml:space="preserve"> Which? and consumer reviews, YouTube teardown and review channels, BBC and Guardian technology coverage, word of mouth.</w:t>
      </w:r>
    </w:p>
    <w:p>
      <w:pPr>
        <w:pStyle w:val="ListBullet"/>
        <w:spacing w:after="60"/>
      </w:pPr>
      <w:r>
        <w:rPr>
          <w:rFonts w:ascii="Arial" w:hAnsi="Arial" w:eastAsia="Arial"/>
          <w:b/>
          <w:i w:val="0"/>
          <w:color w:val="1F2328"/>
          <w:sz w:val="20"/>
        </w:rPr>
        <w:t>Key tension:</w:t>
      </w:r>
      <w:r>
        <w:rPr>
          <w:rFonts w:ascii="Arial" w:hAnsi="Arial" w:eastAsia="Arial"/>
          <w:b w:val="0"/>
          <w:i w:val="0"/>
          <w:color w:val="1F2328"/>
          <w:sz w:val="20"/>
        </w:rPr>
        <w:t xml:space="preserve"> they want a phone that lasts, but “durable” in phones has come to mean rugged, basic or old-fashioned. They will not pay mid-premium money for a phone that looks like a compromise.</w:t>
      </w:r>
    </w:p>
    <w:p>
      <w:pPr>
        <w:spacing w:after="40" w:before="0" w:line="276" w:lineRule="auto"/>
      </w:pPr>
    </w:p>
    <w:p>
      <w:pPr>
        <w:spacing w:after="20" w:before="0" w:line="276" w:lineRule="auto"/>
        <w:ind w:left="340"/>
      </w:pPr>
      <w:r>
        <w:rPr>
          <w:rFonts w:ascii="Arial" w:hAnsi="Arial" w:eastAsia="Arial"/>
          <w:b w:val="0"/>
          <w:i/>
          <w:color w:val="1F2328"/>
          <w:sz w:val="20"/>
        </w:rPr>
        <w:t>“I don’t want the newest phone. I want the one I’ve got to still be good in five years.”</w:t>
      </w:r>
    </w:p>
    <w:p>
      <w:pPr>
        <w:spacing w:after="120" w:before="0" w:line="276" w:lineRule="auto"/>
        <w:ind w:left="340"/>
      </w:pPr>
      <w:r>
        <w:rPr>
          <w:rFonts w:ascii="Arial" w:hAnsi="Arial" w:eastAsia="Arial"/>
          <w:b w:val="0"/>
          <w:i w:val="0"/>
          <w:color w:val="5F666D"/>
          <w:sz w:val="17"/>
        </w:rPr>
        <w:t>Male, 44, Leeds</w:t>
      </w:r>
    </w:p>
    <w:p>
      <w:pPr>
        <w:spacing w:after="20" w:before="0" w:line="276" w:lineRule="auto"/>
        <w:ind w:left="340"/>
      </w:pPr>
      <w:r>
        <w:rPr>
          <w:rFonts w:ascii="Arial" w:hAnsi="Arial" w:eastAsia="Arial"/>
          <w:b w:val="0"/>
          <w:i/>
          <w:color w:val="1F2328"/>
          <w:sz w:val="20"/>
        </w:rPr>
        <w:t>“Durable usually means chunky and ugly. Show me something that lasts and doesn’t look like it’s for a building site.”</w:t>
      </w:r>
    </w:p>
    <w:p>
      <w:pPr>
        <w:spacing w:after="120" w:before="0" w:line="276" w:lineRule="auto"/>
        <w:ind w:left="340"/>
      </w:pPr>
      <w:r>
        <w:rPr>
          <w:rFonts w:ascii="Arial" w:hAnsi="Arial" w:eastAsia="Arial"/>
          <w:b w:val="0"/>
          <w:i w:val="0"/>
          <w:color w:val="5F666D"/>
          <w:sz w:val="17"/>
        </w:rPr>
        <w:t>Female, 38, Bristol</w:t>
      </w:r>
    </w:p>
    <w:p>
      <w:pPr>
        <w:spacing w:after="80" w:before="240" w:line="276" w:lineRule="auto"/>
        <w:pBdr>
          <w:bottom w:val="single" w:sz="4" w:color="9AA0A6"/>
        </w:pBdr>
      </w:pPr>
      <w:r>
        <w:rPr>
          <w:rFonts w:ascii="Arial" w:hAnsi="Arial" w:eastAsia="Arial"/>
          <w:b/>
          <w:i w:val="0"/>
          <w:color w:val="1F2328"/>
          <w:sz w:val="26"/>
        </w:rPr>
        <w:t>Segment 2: Deliberate Disconnectors</w:t>
      </w:r>
    </w:p>
    <w:p>
      <w:pPr>
        <w:spacing w:after="120" w:before="0" w:line="276" w:lineRule="auto"/>
      </w:pPr>
      <w:r>
        <w:rPr>
          <w:rFonts w:ascii="Arial" w:hAnsi="Arial" w:eastAsia="Arial"/>
          <w:b/>
          <w:i w:val="0"/>
          <w:color w:val="1F2328"/>
          <w:sz w:val="20"/>
        </w:rPr>
        <w:t>Deliberate Disconnectors</w:t>
      </w:r>
      <w:r>
        <w:rPr>
          <w:rFonts w:ascii="Arial" w:hAnsi="Arial" w:eastAsia="Arial"/>
          <w:b w:val="0"/>
          <w:i w:val="0"/>
          <w:color w:val="1F2328"/>
          <w:sz w:val="20"/>
        </w:rPr>
        <w:t xml:space="preserve"> are adults aged 18 to 34 who are cutting back on screen time. Some buy feature phones as a second handset; others lock down their smartphones with apps. They are a visible trend online, and Nokia is their favourite reference point.</w:t>
      </w:r>
    </w:p>
    <w:p>
      <w:pPr>
        <w:pStyle w:val="ListBullet"/>
        <w:spacing w:after="60"/>
      </w:pPr>
      <w:r>
        <w:rPr>
          <w:rFonts w:ascii="Arial" w:hAnsi="Arial" w:eastAsia="Arial"/>
          <w:b/>
          <w:i w:val="0"/>
          <w:color w:val="1F2328"/>
          <w:sz w:val="20"/>
        </w:rPr>
        <w:t>Demographics:</w:t>
      </w:r>
      <w:r>
        <w:rPr>
          <w:rFonts w:ascii="Arial" w:hAnsi="Arial" w:eastAsia="Arial"/>
          <w:b w:val="0"/>
          <w:i w:val="0"/>
          <w:color w:val="1F2328"/>
          <w:sz w:val="20"/>
        </w:rPr>
        <w:t xml:space="preserve"> aged 18 to 34; 64% students or early-career; most keep a smartphone alongside a simpler device.</w:t>
      </w:r>
    </w:p>
    <w:p>
      <w:pPr>
        <w:pStyle w:val="ListBullet"/>
        <w:spacing w:after="60"/>
      </w:pPr>
      <w:r>
        <w:rPr>
          <w:rFonts w:ascii="Arial" w:hAnsi="Arial" w:eastAsia="Arial"/>
          <w:b/>
          <w:i w:val="0"/>
          <w:color w:val="1F2328"/>
          <w:sz w:val="20"/>
        </w:rPr>
        <w:t>Attitudes:</w:t>
      </w:r>
      <w:r>
        <w:rPr>
          <w:rFonts w:ascii="Arial" w:hAnsi="Arial" w:eastAsia="Arial"/>
          <w:b w:val="0"/>
          <w:i w:val="0"/>
          <w:color w:val="1F2328"/>
          <w:sz w:val="20"/>
        </w:rPr>
        <w:t xml:space="preserve"> 69% say they “want less phone”; Nokia is the brand most often named as “the phone I’d downgrade to.”</w:t>
      </w:r>
    </w:p>
    <w:p>
      <w:pPr>
        <w:pStyle w:val="ListBullet"/>
        <w:spacing w:after="60"/>
      </w:pPr>
      <w:r>
        <w:rPr>
          <w:rFonts w:ascii="Arial" w:hAnsi="Arial" w:eastAsia="Arial"/>
          <w:b/>
          <w:i w:val="0"/>
          <w:color w:val="1F2328"/>
          <w:sz w:val="20"/>
        </w:rPr>
        <w:t>Media habits:</w:t>
      </w:r>
      <w:r>
        <w:rPr>
          <w:rFonts w:ascii="Arial" w:hAnsi="Arial" w:eastAsia="Arial"/>
          <w:b w:val="0"/>
          <w:i w:val="0"/>
          <w:color w:val="1F2328"/>
          <w:sz w:val="20"/>
        </w:rPr>
        <w:t xml:space="preserve"> TikTok, Instagram, Reddit communities on digital minimalism, YouTube.</w:t>
      </w:r>
    </w:p>
    <w:p>
      <w:pPr>
        <w:pStyle w:val="ListBullet"/>
        <w:spacing w:after="60"/>
      </w:pPr>
      <w:r>
        <w:rPr>
          <w:rFonts w:ascii="Arial" w:hAnsi="Arial" w:eastAsia="Arial"/>
          <w:b/>
          <w:i w:val="0"/>
          <w:color w:val="1F2328"/>
          <w:sz w:val="20"/>
        </w:rPr>
        <w:t>Key tension:</w:t>
      </w:r>
      <w:r>
        <w:rPr>
          <w:rFonts w:ascii="Arial" w:hAnsi="Arial" w:eastAsia="Arial"/>
          <w:b w:val="0"/>
          <w:i w:val="0"/>
          <w:color w:val="1F2328"/>
          <w:sz w:val="20"/>
        </w:rPr>
        <w:t xml:space="preserve"> they love the Nokia name, but what they want is a simple, cheap device, often bought second-hand. Their enthusiasm is real and their spending is small.</w:t>
      </w:r>
    </w:p>
    <w:p>
      <w:pPr>
        <w:spacing w:after="40" w:before="0" w:line="276" w:lineRule="auto"/>
      </w:pPr>
    </w:p>
    <w:p>
      <w:pPr>
        <w:spacing w:after="20" w:before="0" w:line="276" w:lineRule="auto"/>
        <w:ind w:left="340"/>
      </w:pPr>
      <w:r>
        <w:rPr>
          <w:rFonts w:ascii="Arial" w:hAnsi="Arial" w:eastAsia="Arial"/>
          <w:b w:val="0"/>
          <w:i/>
          <w:color w:val="1F2328"/>
          <w:sz w:val="20"/>
        </w:rPr>
        <w:t>“A Nokia is the anti-phone. That’s the whole point. I’d never pay iPhone money for one.”</w:t>
      </w:r>
    </w:p>
    <w:p>
      <w:pPr>
        <w:spacing w:after="120" w:before="0" w:line="276" w:lineRule="auto"/>
        <w:ind w:left="340"/>
      </w:pPr>
      <w:r>
        <w:rPr>
          <w:rFonts w:ascii="Arial" w:hAnsi="Arial" w:eastAsia="Arial"/>
          <w:b w:val="0"/>
          <w:i w:val="0"/>
          <w:color w:val="5F666D"/>
          <w:sz w:val="17"/>
        </w:rPr>
        <w:t>Female, 23, Manchester</w:t>
      </w:r>
    </w:p>
    <w:p>
      <w:pPr>
        <w:spacing w:after="80" w:before="240" w:line="276" w:lineRule="auto"/>
        <w:pBdr>
          <w:bottom w:val="single" w:sz="4" w:color="9AA0A6"/>
        </w:pBdr>
      </w:pPr>
      <w:r>
        <w:rPr>
          <w:rFonts w:ascii="Arial" w:hAnsi="Arial" w:eastAsia="Arial"/>
          <w:b/>
          <w:i w:val="0"/>
          <w:color w:val="1F2328"/>
          <w:sz w:val="26"/>
        </w:rPr>
        <w:t>Segment 3: Flagship Loyalists</w:t>
      </w:r>
    </w:p>
    <w:p>
      <w:pPr>
        <w:spacing w:after="120" w:before="0" w:line="276" w:lineRule="auto"/>
      </w:pPr>
      <w:r>
        <w:rPr>
          <w:rFonts w:ascii="Arial" w:hAnsi="Arial" w:eastAsia="Arial"/>
          <w:b/>
          <w:i w:val="0"/>
          <w:color w:val="1F2328"/>
          <w:sz w:val="20"/>
        </w:rPr>
        <w:t>Flagship Loyalists</w:t>
      </w:r>
      <w:r>
        <w:rPr>
          <w:rFonts w:ascii="Arial" w:hAnsi="Arial" w:eastAsia="Arial"/>
          <w:b w:val="0"/>
          <w:i w:val="0"/>
          <w:color w:val="1F2328"/>
          <w:sz w:val="20"/>
        </w:rPr>
        <w:t xml:space="preserve"> own recent iPhones or Galaxy S phones and upgrade every two to three years. Their phones are part of a wider ecosystem of watches, laptops and earbuds, and switching costs are high.</w:t>
      </w:r>
    </w:p>
    <w:p>
      <w:pPr>
        <w:pStyle w:val="ListBullet"/>
        <w:spacing w:after="60"/>
      </w:pPr>
      <w:r>
        <w:rPr>
          <w:rFonts w:ascii="Arial" w:hAnsi="Arial" w:eastAsia="Arial"/>
          <w:b/>
          <w:i w:val="0"/>
          <w:color w:val="1F2328"/>
          <w:sz w:val="20"/>
        </w:rPr>
        <w:t>Demographics:</w:t>
      </w:r>
      <w:r>
        <w:rPr>
          <w:rFonts w:ascii="Arial" w:hAnsi="Arial" w:eastAsia="Arial"/>
          <w:b w:val="0"/>
          <w:i w:val="0"/>
          <w:color w:val="1F2328"/>
          <w:sz w:val="20"/>
        </w:rPr>
        <w:t xml:space="preserve"> aged 22 to 50; household income above £55,000; 61% on iPhone, 33% on Galaxy S.</w:t>
      </w:r>
    </w:p>
    <w:p>
      <w:pPr>
        <w:pStyle w:val="ListBullet"/>
        <w:spacing w:after="60"/>
      </w:pPr>
      <w:r>
        <w:rPr>
          <w:rFonts w:ascii="Arial" w:hAnsi="Arial" w:eastAsia="Arial"/>
          <w:b/>
          <w:i w:val="0"/>
          <w:color w:val="1F2328"/>
          <w:sz w:val="20"/>
        </w:rPr>
        <w:t>Attitudes:</w:t>
      </w:r>
      <w:r>
        <w:rPr>
          <w:rFonts w:ascii="Arial" w:hAnsi="Arial" w:eastAsia="Arial"/>
          <w:b w:val="0"/>
          <w:i w:val="0"/>
          <w:color w:val="1F2328"/>
          <w:sz w:val="20"/>
        </w:rPr>
        <w:t xml:space="preserve"> value camera quality, status and ecosystem; 81% would not consider a brand outside Apple, Samsung or Google.</w:t>
      </w:r>
    </w:p>
    <w:p>
      <w:pPr>
        <w:pStyle w:val="ListBullet"/>
        <w:spacing w:after="60"/>
      </w:pPr>
      <w:r>
        <w:rPr>
          <w:rFonts w:ascii="Arial" w:hAnsi="Arial" w:eastAsia="Arial"/>
          <w:b/>
          <w:i w:val="0"/>
          <w:color w:val="1F2328"/>
          <w:sz w:val="20"/>
        </w:rPr>
        <w:t>Media habits:</w:t>
      </w:r>
      <w:r>
        <w:rPr>
          <w:rFonts w:ascii="Arial" w:hAnsi="Arial" w:eastAsia="Arial"/>
          <w:b w:val="0"/>
          <w:i w:val="0"/>
          <w:color w:val="1F2328"/>
          <w:sz w:val="20"/>
        </w:rPr>
        <w:t xml:space="preserve"> technology YouTube, launch events, brand social channels, carrier stores.</w:t>
      </w:r>
    </w:p>
    <w:p>
      <w:pPr>
        <w:pStyle w:val="ListBullet"/>
        <w:spacing w:after="60"/>
      </w:pPr>
      <w:r>
        <w:rPr>
          <w:rFonts w:ascii="Arial" w:hAnsi="Arial" w:eastAsia="Arial"/>
          <w:b/>
          <w:i w:val="0"/>
          <w:color w:val="1F2328"/>
          <w:sz w:val="20"/>
        </w:rPr>
        <w:t>Key tension:</w:t>
      </w:r>
      <w:r>
        <w:rPr>
          <w:rFonts w:ascii="Arial" w:hAnsi="Arial" w:eastAsia="Arial"/>
          <w:b w:val="0"/>
          <w:i w:val="0"/>
          <w:color w:val="1F2328"/>
          <w:sz w:val="20"/>
        </w:rPr>
        <w:t xml:space="preserve"> almost none. They are satisfied, and Nokia has nothing they want.</w:t>
      </w:r>
    </w:p>
    <w:p>
      <w:pPr>
        <w:spacing w:after="40" w:before="0" w:line="276" w:lineRule="auto"/>
      </w:pPr>
    </w:p>
    <w:p>
      <w:pPr>
        <w:spacing w:after="20" w:before="0" w:line="276" w:lineRule="auto"/>
        <w:ind w:left="340"/>
      </w:pPr>
      <w:r>
        <w:rPr>
          <w:rFonts w:ascii="Arial" w:hAnsi="Arial" w:eastAsia="Arial"/>
          <w:b w:val="0"/>
          <w:i/>
          <w:color w:val="1F2328"/>
          <w:sz w:val="20"/>
        </w:rPr>
        <w:t>“Nokia? My dad had one. I’m not leaving my iPhone for it.”</w:t>
      </w:r>
    </w:p>
    <w:p>
      <w:pPr>
        <w:spacing w:after="120" w:before="0" w:line="276" w:lineRule="auto"/>
        <w:ind w:left="340"/>
      </w:pPr>
      <w:r>
        <w:rPr>
          <w:rFonts w:ascii="Arial" w:hAnsi="Arial" w:eastAsia="Arial"/>
          <w:b w:val="0"/>
          <w:i w:val="0"/>
          <w:color w:val="5F666D"/>
          <w:sz w:val="17"/>
        </w:rPr>
        <w:t>Male, 29, London</w:t>
      </w:r>
    </w:p>
    <w:p>
      <w:pPr>
        <w:spacing w:after="80" w:before="240" w:line="276" w:lineRule="auto"/>
        <w:pBdr>
          <w:bottom w:val="single" w:sz="4" w:color="9AA0A6"/>
        </w:pBdr>
      </w:pPr>
      <w:r>
        <w:rPr>
          <w:rFonts w:ascii="Arial" w:hAnsi="Arial" w:eastAsia="Arial"/>
          <w:b/>
          <w:i w:val="0"/>
          <w:color w:val="1F2328"/>
          <w:sz w:val="26"/>
        </w:rPr>
        <w:t>How UK buyers see Nokia</w:t>
      </w:r>
    </w:p>
    <w:tbl>
      <w:tblPr>
        <w:tblW w:type="auto" w:w="0"/>
        <w:tblLook w:firstColumn="1" w:firstRow="1" w:lastColumn="0" w:lastRow="0" w:noHBand="0" w:noVBand="1" w:val="04A0"/>
        <w:jc w:val="left"/>
        <w:tblBorders>
          <w:top w:val="single" w:sz="4" w:color="BFC4C9"/>
          <w:left w:val="single" w:sz="4" w:color="BFC4C9"/>
          <w:bottom w:val="single" w:sz="4" w:color="BFC4C9"/>
          <w:right w:val="single" w:sz="4" w:color="BFC4C9"/>
          <w:insideH w:val="single" w:sz="4" w:color="BFC4C9"/>
          <w:insideV w:val="single" w:sz="4" w:color="BFC4C9"/>
        </w:tblBorders>
        <w:tblCellMar>
          <w:top w:w="60" w:type="dxa"/>
          <w:left w:w="100" w:type="dxa"/>
          <w:bottom w:w="60" w:type="dxa"/>
          <w:right w:w="100" w:type="dxa"/>
        </w:tblCellMar>
      </w:tblPr>
      <w:tblGrid>
        <w:gridCol w:w="1882"/>
        <w:gridCol w:w="1882"/>
        <w:gridCol w:w="1882"/>
        <w:gridCol w:w="1882"/>
        <w:gridCol w:w="1882"/>
      </w:tblGrid>
      <w:tr>
        <w:tc>
          <w:tcPr>
            <w:tcW w:type="dxa" w:w="1882"/>
            <w:shd w:val="clear" w:color="auto" w:fill="E7E9EB"/>
          </w:tcPr>
          <w:p>
            <w:pPr>
              <w:spacing w:after="0"/>
            </w:pPr>
            <w:r>
              <w:rPr>
                <w:rFonts w:ascii="Arial" w:hAnsi="Arial" w:eastAsia="Arial"/>
                <w:b/>
                <w:i w:val="0"/>
                <w:color w:val="1F2328"/>
                <w:sz w:val="18"/>
              </w:rPr>
              <w:t>Association</w:t>
            </w:r>
          </w:p>
        </w:tc>
        <w:tc>
          <w:tcPr>
            <w:tcW w:type="dxa" w:w="1882"/>
            <w:shd w:val="clear" w:color="auto" w:fill="E7E9EB"/>
          </w:tcPr>
          <w:p>
            <w:pPr>
              <w:spacing w:after="0"/>
            </w:pPr>
            <w:r>
              <w:rPr>
                <w:rFonts w:ascii="Arial" w:hAnsi="Arial" w:eastAsia="Arial"/>
                <w:b/>
                <w:i w:val="0"/>
                <w:color w:val="1F2328"/>
                <w:sz w:val="18"/>
              </w:rPr>
              <w:t>Lifespan Pragmatists</w:t>
            </w:r>
          </w:p>
        </w:tc>
        <w:tc>
          <w:tcPr>
            <w:tcW w:type="dxa" w:w="1882"/>
            <w:shd w:val="clear" w:color="auto" w:fill="E7E9EB"/>
          </w:tcPr>
          <w:p>
            <w:pPr>
              <w:spacing w:after="0"/>
            </w:pPr>
            <w:r>
              <w:rPr>
                <w:rFonts w:ascii="Arial" w:hAnsi="Arial" w:eastAsia="Arial"/>
                <w:b/>
                <w:i w:val="0"/>
                <w:color w:val="1F2328"/>
                <w:sz w:val="18"/>
              </w:rPr>
              <w:t>Deliberate Disconnectors</w:t>
            </w:r>
          </w:p>
        </w:tc>
        <w:tc>
          <w:tcPr>
            <w:tcW w:type="dxa" w:w="1882"/>
            <w:shd w:val="clear" w:color="auto" w:fill="E7E9EB"/>
          </w:tcPr>
          <w:p>
            <w:pPr>
              <w:spacing w:after="0"/>
            </w:pPr>
            <w:r>
              <w:rPr>
                <w:rFonts w:ascii="Arial" w:hAnsi="Arial" w:eastAsia="Arial"/>
                <w:b/>
                <w:i w:val="0"/>
                <w:color w:val="1F2328"/>
                <w:sz w:val="18"/>
              </w:rPr>
              <w:t>Flagship Loyalists</w:t>
            </w:r>
          </w:p>
        </w:tc>
        <w:tc>
          <w:tcPr>
            <w:tcW w:type="dxa" w:w="1882"/>
            <w:shd w:val="clear" w:color="auto" w:fill="E7E9EB"/>
          </w:tcPr>
          <w:p>
            <w:pPr>
              <w:spacing w:after="0"/>
            </w:pPr>
            <w:r>
              <w:rPr>
                <w:rFonts w:ascii="Arial" w:hAnsi="Arial" w:eastAsia="Arial"/>
                <w:b/>
                <w:i w:val="0"/>
                <w:color w:val="1F2328"/>
                <w:sz w:val="18"/>
              </w:rPr>
              <w:t>All</w:t>
            </w:r>
          </w:p>
        </w:tc>
      </w:tr>
      <w:tr>
        <w:tc>
          <w:tcPr>
            <w:tcW w:type="dxa" w:w="1882"/>
          </w:tcPr>
          <w:p>
            <w:pPr>
              <w:spacing w:after="0"/>
            </w:pPr>
            <w:r>
              <w:rPr>
                <w:rFonts w:ascii="Arial" w:hAnsi="Arial" w:eastAsia="Arial"/>
                <w:b w:val="0"/>
                <w:i w:val="0"/>
                <w:color w:val="1F2328"/>
                <w:sz w:val="18"/>
              </w:rPr>
              <w:t>Reliable</w:t>
            </w:r>
          </w:p>
        </w:tc>
        <w:tc>
          <w:tcPr>
            <w:tcW w:type="dxa" w:w="1882"/>
          </w:tcPr>
          <w:p>
            <w:pPr>
              <w:spacing w:after="0"/>
            </w:pPr>
            <w:r>
              <w:rPr>
                <w:rFonts w:ascii="Arial" w:hAnsi="Arial" w:eastAsia="Arial"/>
                <w:b w:val="0"/>
                <w:i w:val="0"/>
                <w:color w:val="1F2328"/>
                <w:sz w:val="18"/>
              </w:rPr>
              <w:t>74%</w:t>
            </w:r>
          </w:p>
        </w:tc>
        <w:tc>
          <w:tcPr>
            <w:tcW w:type="dxa" w:w="1882"/>
          </w:tcPr>
          <w:p>
            <w:pPr>
              <w:spacing w:after="0"/>
            </w:pPr>
            <w:r>
              <w:rPr>
                <w:rFonts w:ascii="Arial" w:hAnsi="Arial" w:eastAsia="Arial"/>
                <w:b w:val="0"/>
                <w:i w:val="0"/>
                <w:color w:val="1F2328"/>
                <w:sz w:val="18"/>
              </w:rPr>
              <w:t>68%</w:t>
            </w:r>
          </w:p>
        </w:tc>
        <w:tc>
          <w:tcPr>
            <w:tcW w:type="dxa" w:w="1882"/>
          </w:tcPr>
          <w:p>
            <w:pPr>
              <w:spacing w:after="0"/>
            </w:pPr>
            <w:r>
              <w:rPr>
                <w:rFonts w:ascii="Arial" w:hAnsi="Arial" w:eastAsia="Arial"/>
                <w:b w:val="0"/>
                <w:i w:val="0"/>
                <w:color w:val="1F2328"/>
                <w:sz w:val="18"/>
              </w:rPr>
              <w:t>49%</w:t>
            </w:r>
          </w:p>
        </w:tc>
        <w:tc>
          <w:tcPr>
            <w:tcW w:type="dxa" w:w="1882"/>
          </w:tcPr>
          <w:p>
            <w:pPr>
              <w:spacing w:after="0"/>
            </w:pPr>
            <w:r>
              <w:rPr>
                <w:rFonts w:ascii="Arial" w:hAnsi="Arial" w:eastAsia="Arial"/>
                <w:b w:val="0"/>
                <w:i w:val="0"/>
                <w:color w:val="1F2328"/>
                <w:sz w:val="18"/>
              </w:rPr>
              <w:t>63%</w:t>
            </w:r>
          </w:p>
        </w:tc>
      </w:tr>
      <w:tr>
        <w:tc>
          <w:tcPr>
            <w:tcW w:type="dxa" w:w="1882"/>
          </w:tcPr>
          <w:p>
            <w:pPr>
              <w:spacing w:after="0"/>
            </w:pPr>
            <w:r>
              <w:rPr>
                <w:rFonts w:ascii="Arial" w:hAnsi="Arial" w:eastAsia="Arial"/>
                <w:b w:val="0"/>
                <w:i w:val="0"/>
                <w:color w:val="1F2328"/>
                <w:sz w:val="18"/>
              </w:rPr>
              <w:t>Lasts for years</w:t>
            </w:r>
          </w:p>
        </w:tc>
        <w:tc>
          <w:tcPr>
            <w:tcW w:type="dxa" w:w="1882"/>
          </w:tcPr>
          <w:p>
            <w:pPr>
              <w:spacing w:after="0"/>
            </w:pPr>
            <w:r>
              <w:rPr>
                <w:rFonts w:ascii="Arial" w:hAnsi="Arial" w:eastAsia="Arial"/>
                <w:b w:val="0"/>
                <w:i w:val="0"/>
                <w:color w:val="1F2328"/>
                <w:sz w:val="18"/>
              </w:rPr>
              <w:t>71%</w:t>
            </w:r>
          </w:p>
        </w:tc>
        <w:tc>
          <w:tcPr>
            <w:tcW w:type="dxa" w:w="1882"/>
          </w:tcPr>
          <w:p>
            <w:pPr>
              <w:spacing w:after="0"/>
            </w:pPr>
            <w:r>
              <w:rPr>
                <w:rFonts w:ascii="Arial" w:hAnsi="Arial" w:eastAsia="Arial"/>
                <w:b w:val="0"/>
                <w:i w:val="0"/>
                <w:color w:val="1F2328"/>
                <w:sz w:val="18"/>
              </w:rPr>
              <w:t>66%</w:t>
            </w:r>
          </w:p>
        </w:tc>
        <w:tc>
          <w:tcPr>
            <w:tcW w:type="dxa" w:w="1882"/>
          </w:tcPr>
          <w:p>
            <w:pPr>
              <w:spacing w:after="0"/>
            </w:pPr>
            <w:r>
              <w:rPr>
                <w:rFonts w:ascii="Arial" w:hAnsi="Arial" w:eastAsia="Arial"/>
                <w:b w:val="0"/>
                <w:i w:val="0"/>
                <w:color w:val="1F2328"/>
                <w:sz w:val="18"/>
              </w:rPr>
              <w:t>48%</w:t>
            </w:r>
          </w:p>
        </w:tc>
        <w:tc>
          <w:tcPr>
            <w:tcW w:type="dxa" w:w="1882"/>
          </w:tcPr>
          <w:p>
            <w:pPr>
              <w:spacing w:after="0"/>
            </w:pPr>
            <w:r>
              <w:rPr>
                <w:rFonts w:ascii="Arial" w:hAnsi="Arial" w:eastAsia="Arial"/>
                <w:b w:val="0"/>
                <w:i w:val="0"/>
                <w:color w:val="1F2328"/>
                <w:sz w:val="18"/>
              </w:rPr>
              <w:t>61%</w:t>
            </w:r>
          </w:p>
        </w:tc>
      </w:tr>
      <w:tr>
        <w:tc>
          <w:tcPr>
            <w:tcW w:type="dxa" w:w="1882"/>
          </w:tcPr>
          <w:p>
            <w:pPr>
              <w:spacing w:after="0"/>
            </w:pPr>
            <w:r>
              <w:rPr>
                <w:rFonts w:ascii="Arial" w:hAnsi="Arial" w:eastAsia="Arial"/>
                <w:b w:val="0"/>
                <w:i w:val="0"/>
                <w:color w:val="1F2328"/>
                <w:sz w:val="18"/>
              </w:rPr>
              <w:t>Simple to use</w:t>
            </w:r>
          </w:p>
        </w:tc>
        <w:tc>
          <w:tcPr>
            <w:tcW w:type="dxa" w:w="1882"/>
          </w:tcPr>
          <w:p>
            <w:pPr>
              <w:spacing w:after="0"/>
            </w:pPr>
            <w:r>
              <w:rPr>
                <w:rFonts w:ascii="Arial" w:hAnsi="Arial" w:eastAsia="Arial"/>
                <w:b w:val="0"/>
                <w:i w:val="0"/>
                <w:color w:val="1F2328"/>
                <w:sz w:val="18"/>
              </w:rPr>
              <w:t>58%</w:t>
            </w:r>
          </w:p>
        </w:tc>
        <w:tc>
          <w:tcPr>
            <w:tcW w:type="dxa" w:w="1882"/>
          </w:tcPr>
          <w:p>
            <w:pPr>
              <w:spacing w:after="0"/>
            </w:pPr>
            <w:r>
              <w:rPr>
                <w:rFonts w:ascii="Arial" w:hAnsi="Arial" w:eastAsia="Arial"/>
                <w:b w:val="0"/>
                <w:i w:val="0"/>
                <w:color w:val="1F2328"/>
                <w:sz w:val="18"/>
              </w:rPr>
              <w:t>77%</w:t>
            </w:r>
          </w:p>
        </w:tc>
        <w:tc>
          <w:tcPr>
            <w:tcW w:type="dxa" w:w="1882"/>
          </w:tcPr>
          <w:p>
            <w:pPr>
              <w:spacing w:after="0"/>
            </w:pPr>
            <w:r>
              <w:rPr>
                <w:rFonts w:ascii="Arial" w:hAnsi="Arial" w:eastAsia="Arial"/>
                <w:b w:val="0"/>
                <w:i w:val="0"/>
                <w:color w:val="1F2328"/>
                <w:sz w:val="18"/>
              </w:rPr>
              <w:t>39%</w:t>
            </w:r>
          </w:p>
        </w:tc>
        <w:tc>
          <w:tcPr>
            <w:tcW w:type="dxa" w:w="1882"/>
          </w:tcPr>
          <w:p>
            <w:pPr>
              <w:spacing w:after="0"/>
            </w:pPr>
            <w:r>
              <w:rPr>
                <w:rFonts w:ascii="Arial" w:hAnsi="Arial" w:eastAsia="Arial"/>
                <w:b w:val="0"/>
                <w:i w:val="0"/>
                <w:color w:val="1F2328"/>
                <w:sz w:val="18"/>
              </w:rPr>
              <w:t>52%</w:t>
            </w:r>
          </w:p>
        </w:tc>
      </w:tr>
      <w:tr>
        <w:tc>
          <w:tcPr>
            <w:tcW w:type="dxa" w:w="1882"/>
          </w:tcPr>
          <w:p>
            <w:pPr>
              <w:spacing w:after="0"/>
            </w:pPr>
            <w:r>
              <w:rPr>
                <w:rFonts w:ascii="Arial" w:hAnsi="Arial" w:eastAsia="Arial"/>
                <w:b w:val="0"/>
                <w:i w:val="0"/>
                <w:color w:val="1F2328"/>
                <w:sz w:val="18"/>
              </w:rPr>
              <w:t>Outdated</w:t>
            </w:r>
          </w:p>
        </w:tc>
        <w:tc>
          <w:tcPr>
            <w:tcW w:type="dxa" w:w="1882"/>
          </w:tcPr>
          <w:p>
            <w:pPr>
              <w:spacing w:after="0"/>
            </w:pPr>
            <w:r>
              <w:rPr>
                <w:rFonts w:ascii="Arial" w:hAnsi="Arial" w:eastAsia="Arial"/>
                <w:b w:val="0"/>
                <w:i w:val="0"/>
                <w:color w:val="1F2328"/>
                <w:sz w:val="18"/>
              </w:rPr>
              <w:t>41%</w:t>
            </w:r>
          </w:p>
        </w:tc>
        <w:tc>
          <w:tcPr>
            <w:tcW w:type="dxa" w:w="1882"/>
          </w:tcPr>
          <w:p>
            <w:pPr>
              <w:spacing w:after="0"/>
            </w:pPr>
            <w:r>
              <w:rPr>
                <w:rFonts w:ascii="Arial" w:hAnsi="Arial" w:eastAsia="Arial"/>
                <w:b w:val="0"/>
                <w:i w:val="0"/>
                <w:color w:val="1F2328"/>
                <w:sz w:val="18"/>
              </w:rPr>
              <w:t>29%</w:t>
            </w:r>
          </w:p>
        </w:tc>
        <w:tc>
          <w:tcPr>
            <w:tcW w:type="dxa" w:w="1882"/>
          </w:tcPr>
          <w:p>
            <w:pPr>
              <w:spacing w:after="0"/>
            </w:pPr>
            <w:r>
              <w:rPr>
                <w:rFonts w:ascii="Arial" w:hAnsi="Arial" w:eastAsia="Arial"/>
                <w:b w:val="0"/>
                <w:i w:val="0"/>
                <w:color w:val="1F2328"/>
                <w:sz w:val="18"/>
              </w:rPr>
              <w:t>69%</w:t>
            </w:r>
          </w:p>
        </w:tc>
        <w:tc>
          <w:tcPr>
            <w:tcW w:type="dxa" w:w="1882"/>
          </w:tcPr>
          <w:p>
            <w:pPr>
              <w:spacing w:after="0"/>
            </w:pPr>
            <w:r>
              <w:rPr>
                <w:rFonts w:ascii="Arial" w:hAnsi="Arial" w:eastAsia="Arial"/>
                <w:b w:val="0"/>
                <w:i w:val="0"/>
                <w:color w:val="1F2328"/>
                <w:sz w:val="18"/>
              </w:rPr>
              <w:t>55%</w:t>
            </w:r>
          </w:p>
        </w:tc>
      </w:tr>
      <w:tr>
        <w:tc>
          <w:tcPr>
            <w:tcW w:type="dxa" w:w="1882"/>
          </w:tcPr>
          <w:p>
            <w:pPr>
              <w:spacing w:after="0"/>
            </w:pPr>
            <w:r>
              <w:rPr>
                <w:rFonts w:ascii="Arial" w:hAnsi="Arial" w:eastAsia="Arial"/>
                <w:b w:val="0"/>
                <w:i w:val="0"/>
                <w:color w:val="1F2328"/>
                <w:sz w:val="18"/>
              </w:rPr>
              <w:t>Boring</w:t>
            </w:r>
          </w:p>
        </w:tc>
        <w:tc>
          <w:tcPr>
            <w:tcW w:type="dxa" w:w="1882"/>
          </w:tcPr>
          <w:p>
            <w:pPr>
              <w:spacing w:after="0"/>
            </w:pPr>
            <w:r>
              <w:rPr>
                <w:rFonts w:ascii="Arial" w:hAnsi="Arial" w:eastAsia="Arial"/>
                <w:b w:val="0"/>
                <w:i w:val="0"/>
                <w:color w:val="1F2328"/>
                <w:sz w:val="18"/>
              </w:rPr>
              <w:t>33%</w:t>
            </w:r>
          </w:p>
        </w:tc>
        <w:tc>
          <w:tcPr>
            <w:tcW w:type="dxa" w:w="1882"/>
          </w:tcPr>
          <w:p>
            <w:pPr>
              <w:spacing w:after="0"/>
            </w:pPr>
            <w:r>
              <w:rPr>
                <w:rFonts w:ascii="Arial" w:hAnsi="Arial" w:eastAsia="Arial"/>
                <w:b w:val="0"/>
                <w:i w:val="0"/>
                <w:color w:val="1F2328"/>
                <w:sz w:val="18"/>
              </w:rPr>
              <w:t>18%</w:t>
            </w:r>
          </w:p>
        </w:tc>
        <w:tc>
          <w:tcPr>
            <w:tcW w:type="dxa" w:w="1882"/>
          </w:tcPr>
          <w:p>
            <w:pPr>
              <w:spacing w:after="0"/>
            </w:pPr>
            <w:r>
              <w:rPr>
                <w:rFonts w:ascii="Arial" w:hAnsi="Arial" w:eastAsia="Arial"/>
                <w:b w:val="0"/>
                <w:i w:val="0"/>
                <w:color w:val="1F2328"/>
                <w:sz w:val="18"/>
              </w:rPr>
              <w:t>57%</w:t>
            </w:r>
          </w:p>
        </w:tc>
        <w:tc>
          <w:tcPr>
            <w:tcW w:type="dxa" w:w="1882"/>
          </w:tcPr>
          <w:p>
            <w:pPr>
              <w:spacing w:after="0"/>
            </w:pPr>
            <w:r>
              <w:rPr>
                <w:rFonts w:ascii="Arial" w:hAnsi="Arial" w:eastAsia="Arial"/>
                <w:b w:val="0"/>
                <w:i w:val="0"/>
                <w:color w:val="1F2328"/>
                <w:sz w:val="18"/>
              </w:rPr>
              <w:t>44%</w:t>
            </w:r>
          </w:p>
        </w:tc>
      </w:tr>
      <w:tr>
        <w:tc>
          <w:tcPr>
            <w:tcW w:type="dxa" w:w="1882"/>
          </w:tcPr>
          <w:p>
            <w:pPr>
              <w:spacing w:after="0"/>
            </w:pPr>
            <w:r>
              <w:rPr>
                <w:rFonts w:ascii="Arial" w:hAnsi="Arial" w:eastAsia="Arial"/>
                <w:b w:val="0"/>
                <w:i w:val="0"/>
                <w:color w:val="1F2328"/>
                <w:sz w:val="18"/>
              </w:rPr>
              <w:t>For older people</w:t>
            </w:r>
          </w:p>
        </w:tc>
        <w:tc>
          <w:tcPr>
            <w:tcW w:type="dxa" w:w="1882"/>
          </w:tcPr>
          <w:p>
            <w:pPr>
              <w:spacing w:after="0"/>
            </w:pPr>
            <w:r>
              <w:rPr>
                <w:rFonts w:ascii="Arial" w:hAnsi="Arial" w:eastAsia="Arial"/>
                <w:b w:val="0"/>
                <w:i w:val="0"/>
                <w:color w:val="1F2328"/>
                <w:sz w:val="18"/>
              </w:rPr>
              <w:t>28%</w:t>
            </w:r>
          </w:p>
        </w:tc>
        <w:tc>
          <w:tcPr>
            <w:tcW w:type="dxa" w:w="1882"/>
          </w:tcPr>
          <w:p>
            <w:pPr>
              <w:spacing w:after="0"/>
            </w:pPr>
            <w:r>
              <w:rPr>
                <w:rFonts w:ascii="Arial" w:hAnsi="Arial" w:eastAsia="Arial"/>
                <w:b w:val="0"/>
                <w:i w:val="0"/>
                <w:color w:val="1F2328"/>
                <w:sz w:val="18"/>
              </w:rPr>
              <w:t>12%</w:t>
            </w:r>
          </w:p>
        </w:tc>
        <w:tc>
          <w:tcPr>
            <w:tcW w:type="dxa" w:w="1882"/>
          </w:tcPr>
          <w:p>
            <w:pPr>
              <w:spacing w:after="0"/>
            </w:pPr>
            <w:r>
              <w:rPr>
                <w:rFonts w:ascii="Arial" w:hAnsi="Arial" w:eastAsia="Arial"/>
                <w:b w:val="0"/>
                <w:i w:val="0"/>
                <w:color w:val="1F2328"/>
                <w:sz w:val="18"/>
              </w:rPr>
              <w:t>46%</w:t>
            </w:r>
          </w:p>
        </w:tc>
        <w:tc>
          <w:tcPr>
            <w:tcW w:type="dxa" w:w="1882"/>
          </w:tcPr>
          <w:p>
            <w:pPr>
              <w:spacing w:after="0"/>
            </w:pPr>
            <w:r>
              <w:rPr>
                <w:rFonts w:ascii="Arial" w:hAnsi="Arial" w:eastAsia="Arial"/>
                <w:b w:val="0"/>
                <w:i w:val="0"/>
                <w:color w:val="1F2328"/>
                <w:sz w:val="18"/>
              </w:rPr>
              <w:t>35%</w:t>
            </w:r>
          </w:p>
        </w:tc>
      </w:tr>
    </w:tbl>
    <w:p>
      <w:pPr>
        <w:spacing w:after="160" w:before="40" w:line="276" w:lineRule="auto"/>
      </w:pPr>
      <w:r>
        <w:rPr>
          <w:rFonts w:ascii="Arial" w:hAnsi="Arial" w:eastAsia="Arial"/>
          <w:b w:val="0"/>
          <w:i/>
          <w:color w:val="5F666D"/>
          <w:sz w:val="16"/>
        </w:rPr>
        <w:t>Base: aware of Nokia (n=2,268).</w:t>
      </w:r>
    </w:p>
    <w:p>
      <w:pPr>
        <w:spacing w:after="120" w:before="0" w:line="276" w:lineRule="auto"/>
      </w:pPr>
      <w:r>
        <w:rPr>
          <w:rFonts w:ascii="Arial" w:hAnsi="Arial" w:eastAsia="Arial"/>
          <w:b w:val="0"/>
          <w:i w:val="0"/>
          <w:color w:val="1F2328"/>
          <w:sz w:val="20"/>
        </w:rPr>
        <w:t>The pattern is clear. The associations that help Nokia are strongest among Lifespan Pragmatists, and the ones that hurt are strongest among Flagship Loyalists. Deliberate Disconnectors like everything about Nokia except its price.</w:t>
      </w:r>
    </w:p>
    <w:p>
      <w:pPr>
        <w:spacing w:after="80" w:before="240" w:line="276" w:lineRule="auto"/>
        <w:pBdr>
          <w:bottom w:val="single" w:sz="4" w:color="9AA0A6"/>
        </w:pBdr>
      </w:pPr>
      <w:r>
        <w:rPr>
          <w:rFonts w:ascii="Arial" w:hAnsi="Arial" w:eastAsia="Arial"/>
          <w:b/>
          <w:i w:val="0"/>
          <w:color w:val="1F2328"/>
          <w:sz w:val="26"/>
        </w:rPr>
        <w:t>What would raise consideration</w:t>
      </w:r>
    </w:p>
    <w:tbl>
      <w:tblPr>
        <w:tblW w:type="auto" w:w="0"/>
        <w:tblLook w:firstColumn="1" w:firstRow="1" w:lastColumn="0" w:lastRow="0" w:noHBand="0" w:noVBand="1" w:val="04A0"/>
        <w:jc w:val="left"/>
        <w:tblBorders>
          <w:top w:val="single" w:sz="4" w:color="BFC4C9"/>
          <w:left w:val="single" w:sz="4" w:color="BFC4C9"/>
          <w:bottom w:val="single" w:sz="4" w:color="BFC4C9"/>
          <w:right w:val="single" w:sz="4" w:color="BFC4C9"/>
          <w:insideH w:val="single" w:sz="4" w:color="BFC4C9"/>
          <w:insideV w:val="single" w:sz="4" w:color="BFC4C9"/>
        </w:tblBorders>
        <w:tblCellMar>
          <w:top w:w="60" w:type="dxa"/>
          <w:left w:w="100" w:type="dxa"/>
          <w:bottom w:w="60" w:type="dxa"/>
          <w:right w:w="100" w:type="dxa"/>
        </w:tblCellMar>
      </w:tblPr>
      <w:tblGrid>
        <w:gridCol w:w="2353"/>
        <w:gridCol w:w="2353"/>
        <w:gridCol w:w="2353"/>
        <w:gridCol w:w="2353"/>
      </w:tblGrid>
      <w:tr>
        <w:tc>
          <w:tcPr>
            <w:tcW w:type="dxa" w:w="2353"/>
            <w:shd w:val="clear" w:color="auto" w:fill="E7E9EB"/>
          </w:tcPr>
          <w:p>
            <w:pPr>
              <w:spacing w:after="0"/>
            </w:pPr>
            <w:r>
              <w:rPr>
                <w:rFonts w:ascii="Arial" w:hAnsi="Arial" w:eastAsia="Arial"/>
                <w:b/>
                <w:i w:val="0"/>
                <w:color w:val="1F2328"/>
                <w:sz w:val="18"/>
              </w:rPr>
              <w:t>Concept tested</w:t>
            </w:r>
          </w:p>
        </w:tc>
        <w:tc>
          <w:tcPr>
            <w:tcW w:type="dxa" w:w="2353"/>
            <w:shd w:val="clear" w:color="auto" w:fill="E7E9EB"/>
          </w:tcPr>
          <w:p>
            <w:pPr>
              <w:spacing w:after="0"/>
            </w:pPr>
            <w:r>
              <w:rPr>
                <w:rFonts w:ascii="Arial" w:hAnsi="Arial" w:eastAsia="Arial"/>
                <w:b/>
                <w:i w:val="0"/>
                <w:color w:val="1F2328"/>
                <w:sz w:val="18"/>
              </w:rPr>
              <w:t>Lifespan Pragmatists</w:t>
            </w:r>
          </w:p>
        </w:tc>
        <w:tc>
          <w:tcPr>
            <w:tcW w:type="dxa" w:w="2353"/>
            <w:shd w:val="clear" w:color="auto" w:fill="E7E9EB"/>
          </w:tcPr>
          <w:p>
            <w:pPr>
              <w:spacing w:after="0"/>
            </w:pPr>
            <w:r>
              <w:rPr>
                <w:rFonts w:ascii="Arial" w:hAnsi="Arial" w:eastAsia="Arial"/>
                <w:b/>
                <w:i w:val="0"/>
                <w:color w:val="1F2328"/>
                <w:sz w:val="18"/>
              </w:rPr>
              <w:t>Deliberate Disconnectors</w:t>
            </w:r>
          </w:p>
        </w:tc>
        <w:tc>
          <w:tcPr>
            <w:tcW w:type="dxa" w:w="2353"/>
            <w:shd w:val="clear" w:color="auto" w:fill="E7E9EB"/>
          </w:tcPr>
          <w:p>
            <w:pPr>
              <w:spacing w:after="0"/>
            </w:pPr>
            <w:r>
              <w:rPr>
                <w:rFonts w:ascii="Arial" w:hAnsi="Arial" w:eastAsia="Arial"/>
                <w:b/>
                <w:i w:val="0"/>
                <w:color w:val="1F2328"/>
                <w:sz w:val="18"/>
              </w:rPr>
              <w:t>Flagship Loyalists</w:t>
            </w:r>
          </w:p>
        </w:tc>
      </w:tr>
      <w:tr>
        <w:tc>
          <w:tcPr>
            <w:tcW w:type="dxa" w:w="2353"/>
          </w:tcPr>
          <w:p>
            <w:pPr>
              <w:spacing w:after="0"/>
            </w:pPr>
            <w:r>
              <w:rPr>
                <w:rFonts w:ascii="Arial" w:hAnsi="Arial" w:eastAsia="Arial"/>
                <w:b w:val="0"/>
                <w:i w:val="0"/>
                <w:color w:val="1F2328"/>
                <w:sz w:val="18"/>
              </w:rPr>
              <w:t>Five-year guarantee covering battery and performance</w:t>
            </w:r>
          </w:p>
        </w:tc>
        <w:tc>
          <w:tcPr>
            <w:tcW w:type="dxa" w:w="2353"/>
          </w:tcPr>
          <w:p>
            <w:pPr>
              <w:spacing w:after="0"/>
            </w:pPr>
            <w:r>
              <w:rPr>
                <w:rFonts w:ascii="Arial" w:hAnsi="Arial" w:eastAsia="Arial"/>
                <w:b w:val="0"/>
                <w:i w:val="0"/>
                <w:color w:val="1F2328"/>
                <w:sz w:val="18"/>
              </w:rPr>
              <w:t>+22 pts</w:t>
            </w:r>
          </w:p>
        </w:tc>
        <w:tc>
          <w:tcPr>
            <w:tcW w:type="dxa" w:w="2353"/>
          </w:tcPr>
          <w:p>
            <w:pPr>
              <w:spacing w:after="0"/>
            </w:pPr>
            <w:r>
              <w:rPr>
                <w:rFonts w:ascii="Arial" w:hAnsi="Arial" w:eastAsia="Arial"/>
                <w:b w:val="0"/>
                <w:i w:val="0"/>
                <w:color w:val="1F2328"/>
                <w:sz w:val="18"/>
              </w:rPr>
              <w:t>+4 pts</w:t>
            </w:r>
          </w:p>
        </w:tc>
        <w:tc>
          <w:tcPr>
            <w:tcW w:type="dxa" w:w="2353"/>
          </w:tcPr>
          <w:p>
            <w:pPr>
              <w:spacing w:after="0"/>
            </w:pPr>
            <w:r>
              <w:rPr>
                <w:rFonts w:ascii="Arial" w:hAnsi="Arial" w:eastAsia="Arial"/>
                <w:b w:val="0"/>
                <w:i w:val="0"/>
                <w:color w:val="1F2328"/>
                <w:sz w:val="18"/>
              </w:rPr>
              <w:t>+2 pts</w:t>
            </w:r>
          </w:p>
        </w:tc>
      </w:tr>
      <w:tr>
        <w:tc>
          <w:tcPr>
            <w:tcW w:type="dxa" w:w="2353"/>
          </w:tcPr>
          <w:p>
            <w:pPr>
              <w:spacing w:after="0"/>
            </w:pPr>
            <w:r>
              <w:rPr>
                <w:rFonts w:ascii="Arial" w:hAnsi="Arial" w:eastAsia="Arial"/>
                <w:b w:val="0"/>
                <w:i w:val="0"/>
                <w:color w:val="1F2328"/>
                <w:sz w:val="18"/>
              </w:rPr>
              <w:t>Repair at a high street partner within a day</w:t>
            </w:r>
          </w:p>
        </w:tc>
        <w:tc>
          <w:tcPr>
            <w:tcW w:type="dxa" w:w="2353"/>
          </w:tcPr>
          <w:p>
            <w:pPr>
              <w:spacing w:after="0"/>
            </w:pPr>
            <w:r>
              <w:rPr>
                <w:rFonts w:ascii="Arial" w:hAnsi="Arial" w:eastAsia="Arial"/>
                <w:b w:val="0"/>
                <w:i w:val="0"/>
                <w:color w:val="1F2328"/>
                <w:sz w:val="18"/>
              </w:rPr>
              <w:t>+17 pts</w:t>
            </w:r>
          </w:p>
        </w:tc>
        <w:tc>
          <w:tcPr>
            <w:tcW w:type="dxa" w:w="2353"/>
          </w:tcPr>
          <w:p>
            <w:pPr>
              <w:spacing w:after="0"/>
            </w:pPr>
            <w:r>
              <w:rPr>
                <w:rFonts w:ascii="Arial" w:hAnsi="Arial" w:eastAsia="Arial"/>
                <w:b w:val="0"/>
                <w:i w:val="0"/>
                <w:color w:val="1F2328"/>
                <w:sz w:val="18"/>
              </w:rPr>
              <w:t>+3 pts</w:t>
            </w:r>
          </w:p>
        </w:tc>
        <w:tc>
          <w:tcPr>
            <w:tcW w:type="dxa" w:w="2353"/>
          </w:tcPr>
          <w:p>
            <w:pPr>
              <w:spacing w:after="0"/>
            </w:pPr>
            <w:r>
              <w:rPr>
                <w:rFonts w:ascii="Arial" w:hAnsi="Arial" w:eastAsia="Arial"/>
                <w:b w:val="0"/>
                <w:i w:val="0"/>
                <w:color w:val="1F2328"/>
                <w:sz w:val="18"/>
              </w:rPr>
              <w:t>+1 pt</w:t>
            </w:r>
          </w:p>
        </w:tc>
      </w:tr>
      <w:tr>
        <w:tc>
          <w:tcPr>
            <w:tcW w:type="dxa" w:w="2353"/>
          </w:tcPr>
          <w:p>
            <w:pPr>
              <w:spacing w:after="0"/>
            </w:pPr>
            <w:r>
              <w:rPr>
                <w:rFonts w:ascii="Arial" w:hAnsi="Arial" w:eastAsia="Arial"/>
                <w:b w:val="0"/>
                <w:i w:val="0"/>
                <w:color w:val="1F2328"/>
                <w:sz w:val="18"/>
              </w:rPr>
              <w:t>Modern design reviewed alongside flagships</w:t>
            </w:r>
          </w:p>
        </w:tc>
        <w:tc>
          <w:tcPr>
            <w:tcW w:type="dxa" w:w="2353"/>
          </w:tcPr>
          <w:p>
            <w:pPr>
              <w:spacing w:after="0"/>
            </w:pPr>
            <w:r>
              <w:rPr>
                <w:rFonts w:ascii="Arial" w:hAnsi="Arial" w:eastAsia="Arial"/>
                <w:b w:val="0"/>
                <w:i w:val="0"/>
                <w:color w:val="1F2328"/>
                <w:sz w:val="18"/>
              </w:rPr>
              <w:t>+14 pts</w:t>
            </w:r>
          </w:p>
        </w:tc>
        <w:tc>
          <w:tcPr>
            <w:tcW w:type="dxa" w:w="2353"/>
          </w:tcPr>
          <w:p>
            <w:pPr>
              <w:spacing w:after="0"/>
            </w:pPr>
            <w:r>
              <w:rPr>
                <w:rFonts w:ascii="Arial" w:hAnsi="Arial" w:eastAsia="Arial"/>
                <w:b w:val="0"/>
                <w:i w:val="0"/>
                <w:color w:val="1F2328"/>
                <w:sz w:val="18"/>
              </w:rPr>
              <w:t>-2 pts</w:t>
            </w:r>
          </w:p>
        </w:tc>
        <w:tc>
          <w:tcPr>
            <w:tcW w:type="dxa" w:w="2353"/>
          </w:tcPr>
          <w:p>
            <w:pPr>
              <w:spacing w:after="0"/>
            </w:pPr>
            <w:r>
              <w:rPr>
                <w:rFonts w:ascii="Arial" w:hAnsi="Arial" w:eastAsia="Arial"/>
                <w:b w:val="0"/>
                <w:i w:val="0"/>
                <w:color w:val="1F2328"/>
                <w:sz w:val="18"/>
              </w:rPr>
              <w:t>+3 pts</w:t>
            </w:r>
          </w:p>
        </w:tc>
      </w:tr>
      <w:tr>
        <w:tc>
          <w:tcPr>
            <w:tcW w:type="dxa" w:w="2353"/>
          </w:tcPr>
          <w:p>
            <w:pPr>
              <w:spacing w:after="0"/>
            </w:pPr>
            <w:r>
              <w:rPr>
                <w:rFonts w:ascii="Arial" w:hAnsi="Arial" w:eastAsia="Arial"/>
                <w:b w:val="0"/>
                <w:i w:val="0"/>
                <w:color w:val="1F2328"/>
                <w:sz w:val="18"/>
              </w:rPr>
              <w:t>“Nokia is back” relaunch</w:t>
            </w:r>
          </w:p>
        </w:tc>
        <w:tc>
          <w:tcPr>
            <w:tcW w:type="dxa" w:w="2353"/>
          </w:tcPr>
          <w:p>
            <w:pPr>
              <w:spacing w:after="0"/>
            </w:pPr>
            <w:r>
              <w:rPr>
                <w:rFonts w:ascii="Arial" w:hAnsi="Arial" w:eastAsia="Arial"/>
                <w:b w:val="0"/>
                <w:i w:val="0"/>
                <w:color w:val="1F2328"/>
                <w:sz w:val="18"/>
              </w:rPr>
              <w:t>+2 pts</w:t>
            </w:r>
          </w:p>
        </w:tc>
        <w:tc>
          <w:tcPr>
            <w:tcW w:type="dxa" w:w="2353"/>
          </w:tcPr>
          <w:p>
            <w:pPr>
              <w:spacing w:after="0"/>
            </w:pPr>
            <w:r>
              <w:rPr>
                <w:rFonts w:ascii="Arial" w:hAnsi="Arial" w:eastAsia="Arial"/>
                <w:b w:val="0"/>
                <w:i w:val="0"/>
                <w:color w:val="1F2328"/>
                <w:sz w:val="18"/>
              </w:rPr>
              <w:t>+9 pts</w:t>
            </w:r>
          </w:p>
        </w:tc>
        <w:tc>
          <w:tcPr>
            <w:tcW w:type="dxa" w:w="2353"/>
          </w:tcPr>
          <w:p>
            <w:pPr>
              <w:spacing w:after="0"/>
            </w:pPr>
            <w:r>
              <w:rPr>
                <w:rFonts w:ascii="Arial" w:hAnsi="Arial" w:eastAsia="Arial"/>
                <w:b w:val="0"/>
                <w:i w:val="0"/>
                <w:color w:val="1F2328"/>
                <w:sz w:val="18"/>
              </w:rPr>
              <w:t>-1 pt</w:t>
            </w:r>
          </w:p>
        </w:tc>
      </w:tr>
      <w:tr>
        <w:tc>
          <w:tcPr>
            <w:tcW w:type="dxa" w:w="2353"/>
          </w:tcPr>
          <w:p>
            <w:pPr>
              <w:spacing w:after="0"/>
            </w:pPr>
            <w:r>
              <w:rPr>
                <w:rFonts w:ascii="Arial" w:hAnsi="Arial" w:eastAsia="Arial"/>
                <w:b w:val="0"/>
                <w:i w:val="0"/>
                <w:color w:val="1F2328"/>
                <w:sz w:val="18"/>
              </w:rPr>
              <w:t>Sustainability and recycled materials message</w:t>
            </w:r>
          </w:p>
        </w:tc>
        <w:tc>
          <w:tcPr>
            <w:tcW w:type="dxa" w:w="2353"/>
          </w:tcPr>
          <w:p>
            <w:pPr>
              <w:spacing w:after="0"/>
            </w:pPr>
            <w:r>
              <w:rPr>
                <w:rFonts w:ascii="Arial" w:hAnsi="Arial" w:eastAsia="Arial"/>
                <w:b w:val="0"/>
                <w:i w:val="0"/>
                <w:color w:val="1F2328"/>
                <w:sz w:val="18"/>
              </w:rPr>
              <w:t>+3 pts</w:t>
            </w:r>
          </w:p>
        </w:tc>
        <w:tc>
          <w:tcPr>
            <w:tcW w:type="dxa" w:w="2353"/>
          </w:tcPr>
          <w:p>
            <w:pPr>
              <w:spacing w:after="0"/>
            </w:pPr>
            <w:r>
              <w:rPr>
                <w:rFonts w:ascii="Arial" w:hAnsi="Arial" w:eastAsia="Arial"/>
                <w:b w:val="0"/>
                <w:i w:val="0"/>
                <w:color w:val="1F2328"/>
                <w:sz w:val="18"/>
              </w:rPr>
              <w:t>+5 pts</w:t>
            </w:r>
          </w:p>
        </w:tc>
        <w:tc>
          <w:tcPr>
            <w:tcW w:type="dxa" w:w="2353"/>
          </w:tcPr>
          <w:p>
            <w:pPr>
              <w:spacing w:after="0"/>
            </w:pPr>
            <w:r>
              <w:rPr>
                <w:rFonts w:ascii="Arial" w:hAnsi="Arial" w:eastAsia="Arial"/>
                <w:b w:val="0"/>
                <w:i w:val="0"/>
                <w:color w:val="1F2328"/>
                <w:sz w:val="18"/>
              </w:rPr>
              <w:t>+1 pt</w:t>
            </w:r>
          </w:p>
        </w:tc>
      </w:tr>
    </w:tbl>
    <w:p>
      <w:pPr>
        <w:spacing w:after="160" w:before="40" w:line="276" w:lineRule="auto"/>
      </w:pPr>
      <w:r>
        <w:rPr>
          <w:rFonts w:ascii="Arial" w:hAnsi="Arial" w:eastAsia="Arial"/>
          <w:b w:val="0"/>
          <w:i/>
          <w:color w:val="5F666D"/>
          <w:sz w:val="16"/>
        </w:rPr>
        <w:t>Change in “would consider” after exposure. Illustrative.</w:t>
      </w:r>
    </w:p>
    <w:p>
      <w:pPr>
        <w:spacing w:after="80" w:before="240" w:line="276" w:lineRule="auto"/>
        <w:pBdr>
          <w:bottom w:val="single" w:sz="4" w:color="9AA0A6"/>
        </w:pBdr>
      </w:pPr>
      <w:r>
        <w:rPr>
          <w:rFonts w:ascii="Arial" w:hAnsi="Arial" w:eastAsia="Arial"/>
          <w:b/>
          <w:i w:val="0"/>
          <w:color w:val="1F2328"/>
          <w:sz w:val="26"/>
        </w:rPr>
        <w:t>Key findings</w:t>
      </w:r>
    </w:p>
    <w:p>
      <w:pPr>
        <w:pStyle w:val="ListBullet"/>
        <w:spacing w:after="60"/>
      </w:pPr>
      <w:r>
        <w:rPr>
          <w:rFonts w:ascii="Arial" w:hAnsi="Arial" w:eastAsia="Arial"/>
          <w:b w:val="0"/>
          <w:i w:val="0"/>
          <w:color w:val="1F2328"/>
          <w:sz w:val="20"/>
        </w:rPr>
        <w:t>Nokia’s awareness is close to universal and its consideration close to zero. The gap is a decision buyers have made, and only a specific new reason will reverse it.</w:t>
      </w:r>
    </w:p>
    <w:p>
      <w:pPr>
        <w:pStyle w:val="ListBullet"/>
        <w:spacing w:after="60"/>
      </w:pPr>
      <w:r>
        <w:rPr>
          <w:rFonts w:ascii="Arial" w:hAnsi="Arial" w:eastAsia="Arial"/>
          <w:b w:val="0"/>
          <w:i w:val="0"/>
          <w:color w:val="1F2328"/>
          <w:sz w:val="20"/>
        </w:rPr>
        <w:t>Lifespan Pragmatists are the only segment where Nokia’s associations match an unmet need at mid-premium prices. A guarantee moves them more than any message.</w:t>
      </w:r>
    </w:p>
    <w:p>
      <w:pPr>
        <w:pStyle w:val="ListBullet"/>
        <w:spacing w:after="60"/>
      </w:pPr>
      <w:r>
        <w:rPr>
          <w:rFonts w:ascii="Arial" w:hAnsi="Arial" w:eastAsia="Arial"/>
          <w:b w:val="0"/>
          <w:i w:val="0"/>
          <w:color w:val="1F2328"/>
          <w:sz w:val="20"/>
        </w:rPr>
        <w:t>Deliberate Disconnectors are the loudest Nokia fans and the weakest commercial case: they want cheap, simple, second phones.</w:t>
      </w:r>
    </w:p>
    <w:p>
      <w:pPr>
        <w:pStyle w:val="ListBullet"/>
        <w:spacing w:after="60"/>
      </w:pPr>
      <w:r>
        <w:rPr>
          <w:rFonts w:ascii="Arial" w:hAnsi="Arial" w:eastAsia="Arial"/>
          <w:b w:val="0"/>
          <w:i w:val="0"/>
          <w:color w:val="1F2328"/>
          <w:sz w:val="20"/>
        </w:rPr>
        <w:t>Flagship Loyalists cannot be won. Spending to reach them would waste the budget and reinforce “outdated”.</w:t>
      </w:r>
    </w:p>
    <w:p>
      <w:pPr>
        <w:pStyle w:val="ListBullet"/>
        <w:spacing w:after="60"/>
      </w:pPr>
      <w:r>
        <w:rPr>
          <w:rFonts w:ascii="Arial" w:hAnsi="Arial" w:eastAsia="Arial"/>
          <w:b w:val="0"/>
          <w:i w:val="0"/>
          <w:color w:val="1F2328"/>
          <w:sz w:val="20"/>
        </w:rPr>
        <w:t>Nostalgia raises interest only among the segment that will not pay. Sustainability barely moves anyone.</w:t>
      </w:r>
    </w:p>
    <w:p>
      <w:pPr>
        <w:spacing w:after="40" w:before="0" w:line="276" w:lineRule="auto"/>
      </w:pP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rial" w:hAnsi="Arial" w:eastAsia="Arial"/>
        <w:b w:val="0"/>
        <w:i w:val="0"/>
        <w:color w:val="5F666D"/>
        <w:sz w:val="14"/>
      </w:rPr>
      <w:t>Illustrative case study. Not produced by, affiliated with or endorsed by Nokia Corporation. Market facts are drawn from public sources; research figures, verbatims and names are illustrative.</w:t>
    </w:r>
  </w:p>
  <w:p>
    <w:pPr>
      <w:jc w:val="right"/>
    </w:pPr>
    <w:r>
      <w:rPr>
        <w:rFonts w:ascii="Arial" w:hAnsi="Arial" w:eastAsia="Arial"/>
        <w:b w:val="0"/>
        <w:i w:val="0"/>
        <w:color w:val="5F666D"/>
        <w:sz w:val="16"/>
      </w:rPr>
      <w:t xml:space="preserve">Page </w:t>
    </w:r>
    <w:r>
      <w:rPr>
        <w:rFonts w:ascii="Arial" w:hAnsi="Arial"/>
        <w:color w:val="5F666D"/>
        <w:sz w:val="16"/>
      </w:rPr>
      <w:fldChar w:fldCharType="begin"/>
    </w:r>
    <w:r>
      <w:rPr>
        <w:rFonts w:ascii="Arial" w:hAnsi="Arial"/>
        <w:color w:val="5F666D"/>
        <w:sz w:val="16"/>
      </w:rPr>
      <w:instrText xml:space="preserve">PAGE</w:instrText>
    </w:r>
    <w:r>
      <w:rPr>
        <w:rFonts w:ascii="Arial" w:hAnsi="Arial"/>
        <w:color w:val="5F666D"/>
        <w:sz w:val="16"/>
      </w:rPr>
      <w:fldChar w:fldCharType="end"/>
    </w:r>
    <w:r>
      <w:rPr>
        <w:rFonts w:ascii="Arial" w:hAnsi="Arial" w:eastAsia="Arial"/>
        <w:b w:val="0"/>
        <w:i w:val="0"/>
        <w:color w:val="5F666D"/>
        <w:sz w:val="16"/>
      </w:rPr>
      <w:t xml:space="preserve"> of </w:t>
    </w:r>
    <w:r>
      <w:rPr>
        <w:rFonts w:ascii="Arial" w:hAnsi="Arial"/>
        <w:color w:val="5F666D"/>
        <w:sz w:val="16"/>
      </w:rPr>
      <w:fldChar w:fldCharType="begin"/>
    </w:r>
    <w:r>
      <w:rPr>
        <w:rFonts w:ascii="Arial" w:hAnsi="Arial"/>
        <w:color w:val="5F666D"/>
        <w:sz w:val="16"/>
      </w:rPr>
      <w:instrText xml:space="preserve">NUMPAGES</w:instrText>
    </w:r>
    <w:r>
      <w:rPr>
        <w:rFonts w:ascii="Arial" w:hAnsi="Arial"/>
        <w:color w:val="5F666D"/>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eastAsia="Arial"/>
        <w:b/>
        <w:i w:val="0"/>
        <w:color w:val="5F666D"/>
        <w:sz w:val="15"/>
      </w:rPr>
      <w:t>ILLUSTRATIVE CASE STUDY</w:t>
    </w:r>
    <w:r>
      <w:rPr>
        <w:rFonts w:ascii="Arial" w:hAnsi="Arial" w:eastAsia="Arial"/>
        <w:b w:val="0"/>
        <w:i w:val="0"/>
        <w:color w:val="5F666D"/>
        <w:sz w:val="15"/>
      </w:rPr>
      <w:t xml:space="preserve">   |   Nokia | Brand strategy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Nokia UK Phone Buyer Study</dc:title>
  <dc:subject/>
  <dc:creator>Threader Technologies (illustrative case study)</dc:creator>
  <cp:keywords/>
  <dc:description>generated by python-docx</dc:description>
  <cp:lastModifiedBy/>
  <cp:revision>1</cp:revision>
  <dcterms:created xsi:type="dcterms:W3CDTF">2013-12-23T23:15:00Z</dcterms:created>
  <dcterms:modified xsi:type="dcterms:W3CDTF">2013-12-23T23:15:00Z</dcterms:modified>
  <cp:category/>
</cp:coreProperties>
</file>