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before="0" w:line="276" w:lineRule="auto"/>
      </w:pPr>
      <w:r>
        <w:rPr>
          <w:rFonts w:ascii="Arial" w:hAnsi="Arial" w:eastAsia="Arial"/>
          <w:b/>
          <w:i w:val="0"/>
          <w:color w:val="5F666D"/>
          <w:sz w:val="18"/>
        </w:rPr>
        <w:t>COMPETITIVE LANDSCAPE</w:t>
      </w:r>
    </w:p>
    <w:p>
      <w:pPr>
        <w:spacing w:after="40" w:before="0" w:line="276" w:lineRule="auto"/>
      </w:pPr>
      <w:r>
        <w:rPr>
          <w:rFonts w:ascii="Arial" w:hAnsi="Arial" w:eastAsia="Arial"/>
          <w:b/>
          <w:i w:val="0"/>
          <w:color w:val="1F2328"/>
          <w:sz w:val="40"/>
        </w:rPr>
        <w:t>Who Nokia would face in UK phones</w:t>
      </w:r>
    </w:p>
    <w:p>
      <w:pPr>
        <w:spacing w:after="200" w:before="0" w:line="276" w:lineRule="auto"/>
      </w:pPr>
      <w:r>
        <w:rPr>
          <w:rFonts w:ascii="Arial" w:hAnsi="Arial" w:eastAsia="Arial"/>
          <w:b w:val="0"/>
          <w:i w:val="0"/>
          <w:color w:val="5F666D"/>
          <w:sz w:val="24"/>
        </w:rPr>
        <w:t>How competing brands position themselves, and where the open ground is</w:t>
      </w:r>
    </w:p>
    <w:tbl>
      <w:tblPr>
        <w:tblW w:type="auto" w:w="0"/>
        <w:tblLook w:firstColumn="1" w:firstRow="1" w:lastColumn="0" w:lastRow="0" w:noHBand="0" w:noVBand="1" w:val="04A0"/>
        <w:tblBorders>
          <w:top w:val="single" w:sz="4" w:color="D5D9DD"/>
          <w:left w:val="single" w:sz="4" w:color="D5D9DD"/>
          <w:bottom w:val="single" w:sz="4" w:color="D5D9DD"/>
          <w:right w:val="single" w:sz="4" w:color="D5D9DD"/>
          <w:insideH w:val="single" w:sz="4" w:color="D5D9DD"/>
          <w:insideV w:val="single" w:sz="4" w:color="D5D9DD"/>
        </w:tblBorders>
        <w:tblCellMar>
          <w:top w:w="60" w:type="dxa"/>
          <w:left w:w="100" w:type="dxa"/>
          <w:bottom w:w="60" w:type="dxa"/>
          <w:right w:w="100" w:type="dxa"/>
        </w:tblCellMar>
      </w:tblPr>
      <w:tblGrid>
        <w:gridCol w:w="4706"/>
        <w:gridCol w:w="4706"/>
      </w:tblGrid>
      <w:tr>
        <w:tc>
          <w:tcPr>
            <w:tcW w:type="dxa" w:w="4706"/>
            <w:shd w:val="clear" w:color="auto" w:fill="F7F8F9"/>
          </w:tcPr>
          <w:p>
            <w:pPr>
              <w:spacing w:after="0"/>
            </w:pPr>
            <w:r>
              <w:rPr>
                <w:rFonts w:ascii="Arial" w:hAnsi="Arial" w:eastAsia="Arial"/>
                <w:b/>
                <w:i w:val="0"/>
                <w:color w:val="1F2328"/>
                <w:sz w:val="18"/>
              </w:rPr>
              <w:t xml:space="preserve">Client: </w:t>
            </w:r>
            <w:r>
              <w:rPr>
                <w:rFonts w:ascii="Arial" w:hAnsi="Arial" w:eastAsia="Arial"/>
                <w:b w:val="0"/>
                <w:i w:val="0"/>
                <w:color w:val="1F2328"/>
                <w:sz w:val="18"/>
              </w:rPr>
              <w:t>Nokia Corporation</w:t>
            </w:r>
          </w:p>
        </w:tc>
        <w:tc>
          <w:tcPr>
            <w:tcW w:type="dxa" w:w="4706"/>
            <w:shd w:val="clear" w:color="auto" w:fill="F7F8F9"/>
          </w:tcPr>
          <w:p>
            <w:pPr>
              <w:spacing w:after="0"/>
            </w:pPr>
            <w:r>
              <w:rPr>
                <w:rFonts w:ascii="Arial" w:hAnsi="Arial" w:eastAsia="Arial"/>
                <w:b/>
                <w:i w:val="0"/>
                <w:color w:val="1F2328"/>
                <w:sz w:val="18"/>
              </w:rPr>
              <w:t xml:space="preserve">Date: </w:t>
            </w:r>
            <w:r>
              <w:rPr>
                <w:rFonts w:ascii="Arial" w:hAnsi="Arial" w:eastAsia="Arial"/>
                <w:b w:val="0"/>
                <w:i w:val="0"/>
                <w:color w:val="1F2328"/>
                <w:sz w:val="18"/>
              </w:rPr>
              <w:t>October 2026</w:t>
            </w:r>
          </w:p>
        </w:tc>
      </w:tr>
      <w:tr>
        <w:tc>
          <w:tcPr>
            <w:tcW w:type="dxa" w:w="4706"/>
            <w:shd w:val="clear" w:color="auto" w:fill="F7F8F9"/>
          </w:tcPr>
          <w:p>
            <w:pPr>
              <w:spacing w:after="0"/>
            </w:pPr>
            <w:r>
              <w:rPr>
                <w:rFonts w:ascii="Arial" w:hAnsi="Arial" w:eastAsia="Arial"/>
                <w:b/>
                <w:i w:val="0"/>
                <w:color w:val="1F2328"/>
                <w:sz w:val="18"/>
              </w:rPr>
              <w:t xml:space="preserve">Document: </w:t>
            </w:r>
            <w:r>
              <w:rPr>
                <w:rFonts w:ascii="Arial" w:hAnsi="Arial" w:eastAsia="Arial"/>
                <w:b w:val="0"/>
                <w:i w:val="0"/>
                <w:color w:val="1F2328"/>
                <w:sz w:val="18"/>
              </w:rPr>
              <w:t>Competitive landscape review</w:t>
            </w:r>
          </w:p>
        </w:tc>
        <w:tc>
          <w:tcPr>
            <w:tcW w:type="dxa" w:w="4706"/>
            <w:shd w:val="clear" w:color="auto" w:fill="F7F8F9"/>
          </w:tcPr>
          <w:p>
            <w:pPr>
              <w:spacing w:after="0"/>
            </w:pPr>
            <w:r>
              <w:rPr>
                <w:rFonts w:ascii="Arial" w:hAnsi="Arial" w:eastAsia="Arial"/>
                <w:b/>
                <w:i w:val="0"/>
                <w:color w:val="1F2328"/>
                <w:sz w:val="18"/>
              </w:rPr>
              <w:t xml:space="preserve">Sources: </w:t>
            </w:r>
            <w:r>
              <w:rPr>
                <w:rFonts w:ascii="Arial" w:hAnsi="Arial" w:eastAsia="Arial"/>
                <w:b w:val="0"/>
                <w:i w:val="0"/>
                <w:color w:val="1F2328"/>
                <w:sz w:val="18"/>
              </w:rPr>
              <w:t>Brand websites and launch materials; StatCounter; Nokia UK Phone Buyer Study (n=2,412)</w:t>
            </w:r>
          </w:p>
        </w:tc>
      </w:tr>
      <w:tr>
        <w:tc>
          <w:tcPr>
            <w:tcW w:type="dxa" w:w="4706"/>
            <w:shd w:val="clear" w:color="auto" w:fill="F7F8F9"/>
          </w:tcPr>
          <w:p>
            <w:pPr>
              <w:spacing w:after="0"/>
            </w:pPr>
            <w:r>
              <w:rPr>
                <w:rFonts w:ascii="Arial" w:hAnsi="Arial" w:eastAsia="Arial"/>
                <w:b/>
                <w:i w:val="0"/>
                <w:color w:val="1F2328"/>
                <w:sz w:val="18"/>
              </w:rPr>
              <w:t xml:space="preserve">Market: </w:t>
            </w:r>
            <w:r>
              <w:rPr>
                <w:rFonts w:ascii="Arial" w:hAnsi="Arial" w:eastAsia="Arial"/>
                <w:b w:val="0"/>
                <w:i w:val="0"/>
                <w:color w:val="1F2328"/>
                <w:sz w:val="18"/>
              </w:rPr>
              <w:t>United Kingdom</w:t>
            </w:r>
          </w:p>
        </w:tc>
        <w:tc>
          <w:tcPr>
            <w:tcW w:type="dxa" w:w="4706"/>
            <w:shd w:val="clear" w:color="auto" w:fill="F7F8F9"/>
          </w:tcPr>
          <w:p>
            <w:pPr>
              <w:spacing w:after="0"/>
            </w:pPr>
            <w:r>
              <w:rPr>
                <w:rFonts w:ascii="Arial" w:hAnsi="Arial" w:eastAsia="Arial"/>
                <w:b/>
                <w:i w:val="0"/>
                <w:color w:val="1F2328"/>
                <w:sz w:val="18"/>
              </w:rPr>
              <w:t xml:space="preserve">Focus: </w:t>
            </w:r>
            <w:r>
              <w:rPr>
                <w:rFonts w:ascii="Arial" w:hAnsi="Arial" w:eastAsia="Arial"/>
                <w:b w:val="0"/>
                <w:i w:val="0"/>
                <w:color w:val="1F2328"/>
                <w:sz w:val="18"/>
              </w:rPr>
              <w:t>Smartphones priced £300 to £800</w:t>
            </w:r>
          </w:p>
        </w:tc>
      </w:tr>
    </w:tbl>
    <w:p>
      <w:pPr>
        <w:spacing w:after="80" w:before="0" w:line="276" w:lineRule="auto"/>
      </w:pPr>
    </w:p>
    <w:p>
      <w:pPr>
        <w:spacing w:after="80" w:before="240" w:line="276" w:lineRule="auto"/>
        <w:pBdr>
          <w:bottom w:val="single" w:sz="4" w:color="9AA0A6"/>
        </w:pBdr>
      </w:pPr>
      <w:r>
        <w:rPr>
          <w:rFonts w:ascii="Arial" w:hAnsi="Arial" w:eastAsia="Arial"/>
          <w:b/>
          <w:i w:val="0"/>
          <w:color w:val="1F2328"/>
          <w:sz w:val="26"/>
        </w:rPr>
        <w:t>Summary</w:t>
      </w:r>
    </w:p>
    <w:p>
      <w:pPr>
        <w:spacing w:after="120" w:before="0" w:line="276" w:lineRule="auto"/>
      </w:pPr>
      <w:r>
        <w:rPr>
          <w:rFonts w:ascii="Arial" w:hAnsi="Arial" w:eastAsia="Arial"/>
          <w:b w:val="0"/>
          <w:i w:val="0"/>
          <w:color w:val="1F2328"/>
          <w:sz w:val="20"/>
        </w:rPr>
        <w:t xml:space="preserve">The UK phone market belongs to Apple and Samsung. Below them, every brand competes on specification and price. Long software support has become standard on flagships, and repairability is now regulated in the EU, yet no mainstream brand makes </w:t>
      </w:r>
      <w:r>
        <w:rPr>
          <w:rFonts w:ascii="Arial" w:hAnsi="Arial" w:eastAsia="Arial"/>
          <w:b/>
          <w:i w:val="0"/>
          <w:color w:val="1F2328"/>
          <w:sz w:val="20"/>
        </w:rPr>
        <w:t>lasting</w:t>
      </w:r>
      <w:r>
        <w:rPr>
          <w:rFonts w:ascii="Arial" w:hAnsi="Arial" w:eastAsia="Arial"/>
          <w:b w:val="0"/>
          <w:i w:val="0"/>
          <w:color w:val="1F2328"/>
          <w:sz w:val="20"/>
        </w:rPr>
        <w:t xml:space="preserve"> its reason to exist. Fairphone owns repair and ethics at a small scale; HMD owns cheap repairable basics. The mid-premium buyer who wants a phone for five years has no brand.</w:t>
      </w:r>
    </w:p>
    <w:p>
      <w:pPr>
        <w:spacing w:after="80" w:before="240" w:line="276" w:lineRule="auto"/>
        <w:pBdr>
          <w:bottom w:val="single" w:sz="4" w:color="9AA0A6"/>
        </w:pBdr>
      </w:pPr>
      <w:r>
        <w:rPr>
          <w:rFonts w:ascii="Arial" w:hAnsi="Arial" w:eastAsia="Arial"/>
          <w:b/>
          <w:i w:val="0"/>
          <w:color w:val="1F2328"/>
          <w:sz w:val="26"/>
        </w:rPr>
        <w:t>Competitors</w:t>
      </w:r>
    </w:p>
    <w:p>
      <w:pPr>
        <w:spacing w:after="120" w:before="0" w:line="276" w:lineRule="auto"/>
      </w:pPr>
      <w:r>
        <w:rPr>
          <w:rFonts w:ascii="Arial" w:hAnsi="Arial" w:eastAsia="Arial"/>
          <w:b w:val="0"/>
          <w:i w:val="0"/>
          <w:color w:val="1F2328"/>
          <w:sz w:val="20"/>
        </w:rPr>
        <w:t>Brands Lifespan Pragmatists named as their current phone or their next choice: Samsung (Galaxy A and S), Apple (iPhone), Google (Pixel), Motorola, Xiaomi, Fairphone, HMD and OnePlus.</w:t>
      </w:r>
    </w:p>
    <w:p>
      <w:pPr>
        <w:spacing w:after="80" w:before="240" w:line="276" w:lineRule="auto"/>
        <w:pBdr>
          <w:bottom w:val="single" w:sz="4" w:color="9AA0A6"/>
        </w:pBdr>
      </w:pPr>
      <w:r>
        <w:rPr>
          <w:rFonts w:ascii="Arial" w:hAnsi="Arial" w:eastAsia="Arial"/>
          <w:b/>
          <w:i w:val="0"/>
          <w:color w:val="1F2328"/>
          <w:sz w:val="26"/>
        </w:rPr>
        <w:t>Positioning</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2353"/>
        <w:gridCol w:w="2353"/>
        <w:gridCol w:w="2353"/>
        <w:gridCol w:w="2353"/>
      </w:tblGrid>
      <w:tr>
        <w:tc>
          <w:tcPr>
            <w:tcW w:type="dxa" w:w="2353"/>
            <w:shd w:val="clear" w:color="auto" w:fill="E7E9EB"/>
          </w:tcPr>
          <w:p>
            <w:pPr>
              <w:spacing w:after="0"/>
            </w:pPr>
            <w:r>
              <w:rPr>
                <w:rFonts w:ascii="Arial" w:hAnsi="Arial" w:eastAsia="Arial"/>
                <w:b/>
                <w:i w:val="0"/>
                <w:color w:val="1F2328"/>
                <w:sz w:val="18"/>
              </w:rPr>
              <w:t>Brand</w:t>
            </w:r>
          </w:p>
        </w:tc>
        <w:tc>
          <w:tcPr>
            <w:tcW w:type="dxa" w:w="2353"/>
            <w:shd w:val="clear" w:color="auto" w:fill="E7E9EB"/>
          </w:tcPr>
          <w:p>
            <w:pPr>
              <w:spacing w:after="0"/>
            </w:pPr>
            <w:r>
              <w:rPr>
                <w:rFonts w:ascii="Arial" w:hAnsi="Arial" w:eastAsia="Arial"/>
                <w:b/>
                <w:i w:val="0"/>
                <w:color w:val="1F2328"/>
                <w:sz w:val="18"/>
              </w:rPr>
              <w:t>How it positions itself</w:t>
            </w:r>
          </w:p>
        </w:tc>
        <w:tc>
          <w:tcPr>
            <w:tcW w:type="dxa" w:w="2353"/>
            <w:shd w:val="clear" w:color="auto" w:fill="E7E9EB"/>
          </w:tcPr>
          <w:p>
            <w:pPr>
              <w:spacing w:after="0"/>
            </w:pPr>
            <w:r>
              <w:rPr>
                <w:rFonts w:ascii="Arial" w:hAnsi="Arial" w:eastAsia="Arial"/>
                <w:b/>
                <w:i w:val="0"/>
                <w:color w:val="1F2328"/>
                <w:sz w:val="18"/>
              </w:rPr>
              <w:t>What buyers believe</w:t>
            </w:r>
          </w:p>
        </w:tc>
        <w:tc>
          <w:tcPr>
            <w:tcW w:type="dxa" w:w="2353"/>
            <w:shd w:val="clear" w:color="auto" w:fill="E7E9EB"/>
          </w:tcPr>
          <w:p>
            <w:pPr>
              <w:spacing w:after="0"/>
            </w:pPr>
            <w:r>
              <w:rPr>
                <w:rFonts w:ascii="Arial" w:hAnsi="Arial" w:eastAsia="Arial"/>
                <w:b/>
                <w:i w:val="0"/>
                <w:color w:val="1F2328"/>
                <w:sz w:val="18"/>
              </w:rPr>
              <w:t>Weak point for a lasting-phone buyer</w:t>
            </w:r>
          </w:p>
        </w:tc>
      </w:tr>
      <w:tr>
        <w:tc>
          <w:tcPr>
            <w:tcW w:type="dxa" w:w="2353"/>
          </w:tcPr>
          <w:p>
            <w:pPr>
              <w:spacing w:after="0"/>
            </w:pPr>
            <w:r>
              <w:rPr>
                <w:rFonts w:ascii="Arial" w:hAnsi="Arial" w:eastAsia="Arial"/>
                <w:b w:val="0"/>
                <w:i w:val="0"/>
                <w:color w:val="1F2328"/>
                <w:sz w:val="18"/>
              </w:rPr>
              <w:t>Apple</w:t>
            </w:r>
          </w:p>
        </w:tc>
        <w:tc>
          <w:tcPr>
            <w:tcW w:type="dxa" w:w="2353"/>
          </w:tcPr>
          <w:p>
            <w:pPr>
              <w:spacing w:after="0"/>
            </w:pPr>
            <w:r>
              <w:rPr>
                <w:rFonts w:ascii="Arial" w:hAnsi="Arial" w:eastAsia="Arial"/>
                <w:b w:val="0"/>
                <w:i w:val="0"/>
                <w:color w:val="1F2328"/>
                <w:sz w:val="18"/>
              </w:rPr>
              <w:t>Design, privacy, an ecosystem that works together</w:t>
            </w:r>
          </w:p>
        </w:tc>
        <w:tc>
          <w:tcPr>
            <w:tcW w:type="dxa" w:w="2353"/>
          </w:tcPr>
          <w:p>
            <w:pPr>
              <w:spacing w:after="0"/>
            </w:pPr>
            <w:r>
              <w:rPr>
                <w:rFonts w:ascii="Arial" w:hAnsi="Arial" w:eastAsia="Arial"/>
                <w:b w:val="0"/>
                <w:i w:val="0"/>
                <w:color w:val="1F2328"/>
                <w:sz w:val="18"/>
              </w:rPr>
              <w:t>Premium, status, holds its value</w:t>
            </w:r>
          </w:p>
        </w:tc>
        <w:tc>
          <w:tcPr>
            <w:tcW w:type="dxa" w:w="2353"/>
          </w:tcPr>
          <w:p>
            <w:pPr>
              <w:spacing w:after="0"/>
            </w:pPr>
            <w:r>
              <w:rPr>
                <w:rFonts w:ascii="Arial" w:hAnsi="Arial" w:eastAsia="Arial"/>
                <w:b w:val="0"/>
                <w:i w:val="0"/>
                <w:color w:val="1F2328"/>
                <w:sz w:val="18"/>
              </w:rPr>
              <w:t>Price; battery and repair costs out of warranty</w:t>
            </w:r>
          </w:p>
        </w:tc>
      </w:tr>
      <w:tr>
        <w:tc>
          <w:tcPr>
            <w:tcW w:type="dxa" w:w="2353"/>
          </w:tcPr>
          <w:p>
            <w:pPr>
              <w:spacing w:after="0"/>
            </w:pPr>
            <w:r>
              <w:rPr>
                <w:rFonts w:ascii="Arial" w:hAnsi="Arial" w:eastAsia="Arial"/>
                <w:b w:val="0"/>
                <w:i w:val="0"/>
                <w:color w:val="1F2328"/>
                <w:sz w:val="18"/>
              </w:rPr>
              <w:t>Samsung</w:t>
            </w:r>
          </w:p>
        </w:tc>
        <w:tc>
          <w:tcPr>
            <w:tcW w:type="dxa" w:w="2353"/>
          </w:tcPr>
          <w:p>
            <w:pPr>
              <w:spacing w:after="0"/>
            </w:pPr>
            <w:r>
              <w:rPr>
                <w:rFonts w:ascii="Arial" w:hAnsi="Arial" w:eastAsia="Arial"/>
                <w:b w:val="0"/>
                <w:i w:val="0"/>
                <w:color w:val="1F2328"/>
                <w:sz w:val="18"/>
              </w:rPr>
              <w:t>Innovation and choice at every price; seven years of updates on flagships</w:t>
            </w:r>
          </w:p>
        </w:tc>
        <w:tc>
          <w:tcPr>
            <w:tcW w:type="dxa" w:w="2353"/>
          </w:tcPr>
          <w:p>
            <w:pPr>
              <w:spacing w:after="0"/>
            </w:pPr>
            <w:r>
              <w:rPr>
                <w:rFonts w:ascii="Arial" w:hAnsi="Arial" w:eastAsia="Arial"/>
                <w:b w:val="0"/>
                <w:i w:val="0"/>
                <w:color w:val="1F2328"/>
                <w:sz w:val="18"/>
              </w:rPr>
              <w:t>Reliable all-rounder, safe choice</w:t>
            </w:r>
          </w:p>
        </w:tc>
        <w:tc>
          <w:tcPr>
            <w:tcW w:type="dxa" w:w="2353"/>
          </w:tcPr>
          <w:p>
            <w:pPr>
              <w:spacing w:after="0"/>
            </w:pPr>
            <w:r>
              <w:rPr>
                <w:rFonts w:ascii="Arial" w:hAnsi="Arial" w:eastAsia="Arial"/>
                <w:b w:val="0"/>
                <w:i w:val="0"/>
                <w:color w:val="1F2328"/>
                <w:sz w:val="18"/>
              </w:rPr>
              <w:t>Range is confusing; the longevity promise is buried in the small print</w:t>
            </w:r>
          </w:p>
        </w:tc>
      </w:tr>
      <w:tr>
        <w:tc>
          <w:tcPr>
            <w:tcW w:type="dxa" w:w="2353"/>
          </w:tcPr>
          <w:p>
            <w:pPr>
              <w:spacing w:after="0"/>
            </w:pPr>
            <w:r>
              <w:rPr>
                <w:rFonts w:ascii="Arial" w:hAnsi="Arial" w:eastAsia="Arial"/>
                <w:b w:val="0"/>
                <w:i w:val="0"/>
                <w:color w:val="1F2328"/>
                <w:sz w:val="18"/>
              </w:rPr>
              <w:t>Google Pixel</w:t>
            </w:r>
          </w:p>
        </w:tc>
        <w:tc>
          <w:tcPr>
            <w:tcW w:type="dxa" w:w="2353"/>
          </w:tcPr>
          <w:p>
            <w:pPr>
              <w:spacing w:after="0"/>
            </w:pPr>
            <w:r>
              <w:rPr>
                <w:rFonts w:ascii="Arial" w:hAnsi="Arial" w:eastAsia="Arial"/>
                <w:b w:val="0"/>
                <w:i w:val="0"/>
                <w:color w:val="1F2328"/>
                <w:sz w:val="18"/>
              </w:rPr>
              <w:t>The best of Google AI; seven years of updates</w:t>
            </w:r>
          </w:p>
        </w:tc>
        <w:tc>
          <w:tcPr>
            <w:tcW w:type="dxa" w:w="2353"/>
          </w:tcPr>
          <w:p>
            <w:pPr>
              <w:spacing w:after="0"/>
            </w:pPr>
            <w:r>
              <w:rPr>
                <w:rFonts w:ascii="Arial" w:hAnsi="Arial" w:eastAsia="Arial"/>
                <w:b w:val="0"/>
                <w:i w:val="0"/>
                <w:color w:val="1F2328"/>
                <w:sz w:val="18"/>
              </w:rPr>
              <w:t>Clever camera, smart software</w:t>
            </w:r>
          </w:p>
        </w:tc>
        <w:tc>
          <w:tcPr>
            <w:tcW w:type="dxa" w:w="2353"/>
          </w:tcPr>
          <w:p>
            <w:pPr>
              <w:spacing w:after="0"/>
            </w:pPr>
            <w:r>
              <w:rPr>
                <w:rFonts w:ascii="Arial" w:hAnsi="Arial" w:eastAsia="Arial"/>
                <w:b w:val="0"/>
                <w:i w:val="0"/>
                <w:color w:val="1F2328"/>
                <w:sz w:val="18"/>
              </w:rPr>
              <w:t>Hardware reliability doubts; low awareness of the update promise</w:t>
            </w:r>
          </w:p>
        </w:tc>
      </w:tr>
      <w:tr>
        <w:tc>
          <w:tcPr>
            <w:tcW w:type="dxa" w:w="2353"/>
          </w:tcPr>
          <w:p>
            <w:pPr>
              <w:spacing w:after="0"/>
            </w:pPr>
            <w:r>
              <w:rPr>
                <w:rFonts w:ascii="Arial" w:hAnsi="Arial" w:eastAsia="Arial"/>
                <w:b w:val="0"/>
                <w:i w:val="0"/>
                <w:color w:val="1F2328"/>
                <w:sz w:val="18"/>
              </w:rPr>
              <w:t>Motorola</w:t>
            </w:r>
          </w:p>
        </w:tc>
        <w:tc>
          <w:tcPr>
            <w:tcW w:type="dxa" w:w="2353"/>
          </w:tcPr>
          <w:p>
            <w:pPr>
              <w:spacing w:after="0"/>
            </w:pPr>
            <w:r>
              <w:rPr>
                <w:rFonts w:ascii="Arial" w:hAnsi="Arial" w:eastAsia="Arial"/>
                <w:b w:val="0"/>
                <w:i w:val="0"/>
                <w:color w:val="1F2328"/>
                <w:sz w:val="18"/>
              </w:rPr>
              <w:t>Value and clean Android</w:t>
            </w:r>
          </w:p>
        </w:tc>
        <w:tc>
          <w:tcPr>
            <w:tcW w:type="dxa" w:w="2353"/>
          </w:tcPr>
          <w:p>
            <w:pPr>
              <w:spacing w:after="0"/>
            </w:pPr>
            <w:r>
              <w:rPr>
                <w:rFonts w:ascii="Arial" w:hAnsi="Arial" w:eastAsia="Arial"/>
                <w:b w:val="0"/>
                <w:i w:val="0"/>
                <w:color w:val="1F2328"/>
                <w:sz w:val="18"/>
              </w:rPr>
              <w:t>Good value, nothing special</w:t>
            </w:r>
          </w:p>
        </w:tc>
        <w:tc>
          <w:tcPr>
            <w:tcW w:type="dxa" w:w="2353"/>
          </w:tcPr>
          <w:p>
            <w:pPr>
              <w:spacing w:after="0"/>
            </w:pPr>
            <w:r>
              <w:rPr>
                <w:rFonts w:ascii="Arial" w:hAnsi="Arial" w:eastAsia="Arial"/>
                <w:b w:val="0"/>
                <w:i w:val="0"/>
                <w:color w:val="1F2328"/>
                <w:sz w:val="18"/>
              </w:rPr>
              <w:t>Short update support on most models</w:t>
            </w:r>
          </w:p>
        </w:tc>
      </w:tr>
      <w:tr>
        <w:tc>
          <w:tcPr>
            <w:tcW w:type="dxa" w:w="2353"/>
          </w:tcPr>
          <w:p>
            <w:pPr>
              <w:spacing w:after="0"/>
            </w:pPr>
            <w:r>
              <w:rPr>
                <w:rFonts w:ascii="Arial" w:hAnsi="Arial" w:eastAsia="Arial"/>
                <w:b w:val="0"/>
                <w:i w:val="0"/>
                <w:color w:val="1F2328"/>
                <w:sz w:val="18"/>
              </w:rPr>
              <w:t>Xiaomi</w:t>
            </w:r>
          </w:p>
        </w:tc>
        <w:tc>
          <w:tcPr>
            <w:tcW w:type="dxa" w:w="2353"/>
          </w:tcPr>
          <w:p>
            <w:pPr>
              <w:spacing w:after="0"/>
            </w:pPr>
            <w:r>
              <w:rPr>
                <w:rFonts w:ascii="Arial" w:hAnsi="Arial" w:eastAsia="Arial"/>
                <w:b w:val="0"/>
                <w:i w:val="0"/>
                <w:color w:val="1F2328"/>
                <w:sz w:val="18"/>
              </w:rPr>
              <w:t>Flagship specification for less</w:t>
            </w:r>
          </w:p>
        </w:tc>
        <w:tc>
          <w:tcPr>
            <w:tcW w:type="dxa" w:w="2353"/>
          </w:tcPr>
          <w:p>
            <w:pPr>
              <w:spacing w:after="0"/>
            </w:pPr>
            <w:r>
              <w:rPr>
                <w:rFonts w:ascii="Arial" w:hAnsi="Arial" w:eastAsia="Arial"/>
                <w:b w:val="0"/>
                <w:i w:val="0"/>
                <w:color w:val="1F2328"/>
                <w:sz w:val="18"/>
              </w:rPr>
              <w:t>Lots of phone for the money</w:t>
            </w:r>
          </w:p>
        </w:tc>
        <w:tc>
          <w:tcPr>
            <w:tcW w:type="dxa" w:w="2353"/>
          </w:tcPr>
          <w:p>
            <w:pPr>
              <w:spacing w:after="0"/>
            </w:pPr>
            <w:r>
              <w:rPr>
                <w:rFonts w:ascii="Arial" w:hAnsi="Arial" w:eastAsia="Arial"/>
                <w:b w:val="0"/>
                <w:i w:val="0"/>
                <w:color w:val="1F2328"/>
                <w:sz w:val="18"/>
              </w:rPr>
              <w:t>Trust; software clutter</w:t>
            </w:r>
          </w:p>
        </w:tc>
      </w:tr>
      <w:tr>
        <w:tc>
          <w:tcPr>
            <w:tcW w:type="dxa" w:w="2353"/>
          </w:tcPr>
          <w:p>
            <w:pPr>
              <w:spacing w:after="0"/>
            </w:pPr>
            <w:r>
              <w:rPr>
                <w:rFonts w:ascii="Arial" w:hAnsi="Arial" w:eastAsia="Arial"/>
                <w:b w:val="0"/>
                <w:i w:val="0"/>
                <w:color w:val="1F2328"/>
                <w:sz w:val="18"/>
              </w:rPr>
              <w:t>Fairphone</w:t>
            </w:r>
          </w:p>
        </w:tc>
        <w:tc>
          <w:tcPr>
            <w:tcW w:type="dxa" w:w="2353"/>
          </w:tcPr>
          <w:p>
            <w:pPr>
              <w:spacing w:after="0"/>
            </w:pPr>
            <w:r>
              <w:rPr>
                <w:rFonts w:ascii="Arial" w:hAnsi="Arial" w:eastAsia="Arial"/>
                <w:b w:val="0"/>
                <w:i w:val="0"/>
                <w:color w:val="1F2328"/>
                <w:sz w:val="18"/>
              </w:rPr>
              <w:t>Ethical, modular, repairable by the owner</w:t>
            </w:r>
          </w:p>
        </w:tc>
        <w:tc>
          <w:tcPr>
            <w:tcW w:type="dxa" w:w="2353"/>
          </w:tcPr>
          <w:p>
            <w:pPr>
              <w:spacing w:after="0"/>
            </w:pPr>
            <w:r>
              <w:rPr>
                <w:rFonts w:ascii="Arial" w:hAnsi="Arial" w:eastAsia="Arial"/>
                <w:b w:val="0"/>
                <w:i w:val="0"/>
                <w:color w:val="1F2328"/>
                <w:sz w:val="18"/>
              </w:rPr>
              <w:t>Worthy, niche</w:t>
            </w:r>
          </w:p>
        </w:tc>
        <w:tc>
          <w:tcPr>
            <w:tcW w:type="dxa" w:w="2353"/>
          </w:tcPr>
          <w:p>
            <w:pPr>
              <w:spacing w:after="0"/>
            </w:pPr>
            <w:r>
              <w:rPr>
                <w:rFonts w:ascii="Arial" w:hAnsi="Arial" w:eastAsia="Arial"/>
                <w:b w:val="0"/>
                <w:i w:val="0"/>
                <w:color w:val="1F2328"/>
                <w:sz w:val="18"/>
              </w:rPr>
              <w:t>Design and camera compromises; hard to find in shops</w:t>
            </w:r>
          </w:p>
        </w:tc>
      </w:tr>
      <w:tr>
        <w:tc>
          <w:tcPr>
            <w:tcW w:type="dxa" w:w="2353"/>
          </w:tcPr>
          <w:p>
            <w:pPr>
              <w:spacing w:after="0"/>
            </w:pPr>
            <w:r>
              <w:rPr>
                <w:rFonts w:ascii="Arial" w:hAnsi="Arial" w:eastAsia="Arial"/>
                <w:b w:val="0"/>
                <w:i w:val="0"/>
                <w:color w:val="1F2328"/>
                <w:sz w:val="18"/>
              </w:rPr>
              <w:t>HMD</w:t>
            </w:r>
          </w:p>
        </w:tc>
        <w:tc>
          <w:tcPr>
            <w:tcW w:type="dxa" w:w="2353"/>
          </w:tcPr>
          <w:p>
            <w:pPr>
              <w:spacing w:after="0"/>
            </w:pPr>
            <w:r>
              <w:rPr>
                <w:rFonts w:ascii="Arial" w:hAnsi="Arial" w:eastAsia="Arial"/>
                <w:b w:val="0"/>
                <w:i w:val="0"/>
                <w:color w:val="1F2328"/>
                <w:sz w:val="18"/>
              </w:rPr>
              <w:t>Affordable phones you can repair at home</w:t>
            </w:r>
          </w:p>
        </w:tc>
        <w:tc>
          <w:tcPr>
            <w:tcW w:type="dxa" w:w="2353"/>
          </w:tcPr>
          <w:p>
            <w:pPr>
              <w:spacing w:after="0"/>
            </w:pPr>
            <w:r>
              <w:rPr>
                <w:rFonts w:ascii="Arial" w:hAnsi="Arial" w:eastAsia="Arial"/>
                <w:b w:val="0"/>
                <w:i w:val="0"/>
                <w:color w:val="1F2328"/>
                <w:sz w:val="18"/>
              </w:rPr>
              <w:t>Cheap and cheerful</w:t>
            </w:r>
          </w:p>
        </w:tc>
        <w:tc>
          <w:tcPr>
            <w:tcW w:type="dxa" w:w="2353"/>
          </w:tcPr>
          <w:p>
            <w:pPr>
              <w:spacing w:after="0"/>
            </w:pPr>
            <w:r>
              <w:rPr>
                <w:rFonts w:ascii="Arial" w:hAnsi="Arial" w:eastAsia="Arial"/>
                <w:b w:val="0"/>
                <w:i w:val="0"/>
                <w:color w:val="1F2328"/>
                <w:sz w:val="18"/>
              </w:rPr>
              <w:t>Budget only; no mid-premium presence</w:t>
            </w:r>
          </w:p>
        </w:tc>
      </w:tr>
      <w:tr>
        <w:tc>
          <w:tcPr>
            <w:tcW w:type="dxa" w:w="2353"/>
          </w:tcPr>
          <w:p>
            <w:pPr>
              <w:spacing w:after="0"/>
            </w:pPr>
            <w:r>
              <w:rPr>
                <w:rFonts w:ascii="Arial" w:hAnsi="Arial" w:eastAsia="Arial"/>
                <w:b w:val="0"/>
                <w:i w:val="0"/>
                <w:color w:val="1F2328"/>
                <w:sz w:val="18"/>
              </w:rPr>
              <w:t>OnePlus</w:t>
            </w:r>
          </w:p>
        </w:tc>
        <w:tc>
          <w:tcPr>
            <w:tcW w:type="dxa" w:w="2353"/>
          </w:tcPr>
          <w:p>
            <w:pPr>
              <w:spacing w:after="0"/>
            </w:pPr>
            <w:r>
              <w:rPr>
                <w:rFonts w:ascii="Arial" w:hAnsi="Arial" w:eastAsia="Arial"/>
                <w:b w:val="0"/>
                <w:i w:val="0"/>
                <w:color w:val="1F2328"/>
                <w:sz w:val="18"/>
              </w:rPr>
              <w:t>Fast, smooth, flagship killer</w:t>
            </w:r>
          </w:p>
        </w:tc>
        <w:tc>
          <w:tcPr>
            <w:tcW w:type="dxa" w:w="2353"/>
          </w:tcPr>
          <w:p>
            <w:pPr>
              <w:spacing w:after="0"/>
            </w:pPr>
            <w:r>
              <w:rPr>
                <w:rFonts w:ascii="Arial" w:hAnsi="Arial" w:eastAsia="Arial"/>
                <w:b w:val="0"/>
                <w:i w:val="0"/>
                <w:color w:val="1F2328"/>
                <w:sz w:val="18"/>
              </w:rPr>
              <w:t>Enthusiast brand</w:t>
            </w:r>
          </w:p>
        </w:tc>
        <w:tc>
          <w:tcPr>
            <w:tcW w:type="dxa" w:w="2353"/>
          </w:tcPr>
          <w:p>
            <w:pPr>
              <w:spacing w:after="0"/>
            </w:pPr>
            <w:r>
              <w:rPr>
                <w:rFonts w:ascii="Arial" w:hAnsi="Arial" w:eastAsia="Arial"/>
                <w:b w:val="0"/>
                <w:i w:val="0"/>
                <w:color w:val="1F2328"/>
                <w:sz w:val="18"/>
              </w:rPr>
              <w:t>Shrinking UK presence</w:t>
            </w:r>
          </w:p>
        </w:tc>
      </w:tr>
    </w:tbl>
    <w:p>
      <w:pPr>
        <w:spacing w:after="120" w:before="0" w:line="276" w:lineRule="auto"/>
      </w:pPr>
    </w:p>
    <w:p>
      <w:pPr>
        <w:spacing w:after="80" w:before="240" w:line="276" w:lineRule="auto"/>
        <w:pBdr>
          <w:bottom w:val="single" w:sz="4" w:color="9AA0A6"/>
        </w:pBdr>
      </w:pPr>
      <w:r>
        <w:rPr>
          <w:rFonts w:ascii="Arial" w:hAnsi="Arial" w:eastAsia="Arial"/>
          <w:b/>
          <w:i w:val="0"/>
          <w:color w:val="1F2328"/>
          <w:sz w:val="26"/>
        </w:rPr>
        <w:t>Market share and performance</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2353"/>
        <w:gridCol w:w="2353"/>
        <w:gridCol w:w="2353"/>
        <w:gridCol w:w="2353"/>
      </w:tblGrid>
      <w:tr>
        <w:tc>
          <w:tcPr>
            <w:tcW w:type="dxa" w:w="2353"/>
            <w:shd w:val="clear" w:color="auto" w:fill="E7E9EB"/>
          </w:tcPr>
          <w:p>
            <w:pPr>
              <w:spacing w:after="0"/>
            </w:pPr>
            <w:r>
              <w:rPr>
                <w:rFonts w:ascii="Arial" w:hAnsi="Arial" w:eastAsia="Arial"/>
                <w:b/>
                <w:i w:val="0"/>
                <w:color w:val="1F2328"/>
                <w:sz w:val="18"/>
              </w:rPr>
              <w:t>Brand</w:t>
            </w:r>
          </w:p>
        </w:tc>
        <w:tc>
          <w:tcPr>
            <w:tcW w:type="dxa" w:w="2353"/>
            <w:shd w:val="clear" w:color="auto" w:fill="E7E9EB"/>
          </w:tcPr>
          <w:p>
            <w:pPr>
              <w:spacing w:after="0"/>
            </w:pPr>
            <w:r>
              <w:rPr>
                <w:rFonts w:ascii="Arial" w:hAnsi="Arial" w:eastAsia="Arial"/>
                <w:b/>
                <w:i w:val="0"/>
                <w:color w:val="1F2328"/>
                <w:sz w:val="18"/>
              </w:rPr>
              <w:t>UK share of phones in use, September 2026</w:t>
            </w:r>
          </w:p>
        </w:tc>
        <w:tc>
          <w:tcPr>
            <w:tcW w:type="dxa" w:w="2353"/>
            <w:shd w:val="clear" w:color="auto" w:fill="E7E9EB"/>
          </w:tcPr>
          <w:p>
            <w:pPr>
              <w:spacing w:after="0"/>
            </w:pPr>
            <w:r>
              <w:rPr>
                <w:rFonts w:ascii="Arial" w:hAnsi="Arial" w:eastAsia="Arial"/>
                <w:b/>
                <w:i w:val="0"/>
                <w:color w:val="1F2328"/>
                <w:sz w:val="18"/>
              </w:rPr>
              <w:t>Lifespan Pragmatists: would consider</w:t>
            </w:r>
          </w:p>
        </w:tc>
        <w:tc>
          <w:tcPr>
            <w:tcW w:type="dxa" w:w="2353"/>
            <w:shd w:val="clear" w:color="auto" w:fill="E7E9EB"/>
          </w:tcPr>
          <w:p>
            <w:pPr>
              <w:spacing w:after="0"/>
            </w:pPr>
            <w:r>
              <w:rPr>
                <w:rFonts w:ascii="Arial" w:hAnsi="Arial" w:eastAsia="Arial"/>
                <w:b/>
                <w:i w:val="0"/>
                <w:color w:val="1F2328"/>
                <w:sz w:val="18"/>
              </w:rPr>
              <w:t>Lifespan Pragmatists: “lasts for years”</w:t>
            </w:r>
          </w:p>
        </w:tc>
      </w:tr>
      <w:tr>
        <w:tc>
          <w:tcPr>
            <w:tcW w:type="dxa" w:w="2353"/>
          </w:tcPr>
          <w:p>
            <w:pPr>
              <w:spacing w:after="0"/>
            </w:pPr>
            <w:r>
              <w:rPr>
                <w:rFonts w:ascii="Arial" w:hAnsi="Arial" w:eastAsia="Arial"/>
                <w:b w:val="0"/>
                <w:i w:val="0"/>
                <w:color w:val="1F2328"/>
                <w:sz w:val="18"/>
              </w:rPr>
              <w:t>Apple</w:t>
            </w:r>
          </w:p>
        </w:tc>
        <w:tc>
          <w:tcPr>
            <w:tcW w:type="dxa" w:w="2353"/>
          </w:tcPr>
          <w:p>
            <w:pPr>
              <w:spacing w:after="0"/>
            </w:pPr>
            <w:r>
              <w:rPr>
                <w:rFonts w:ascii="Arial" w:hAnsi="Arial" w:eastAsia="Arial"/>
                <w:b w:val="0"/>
                <w:i w:val="0"/>
                <w:color w:val="1F2328"/>
                <w:sz w:val="18"/>
              </w:rPr>
              <w:t>46.9%</w:t>
            </w:r>
          </w:p>
        </w:tc>
        <w:tc>
          <w:tcPr>
            <w:tcW w:type="dxa" w:w="2353"/>
          </w:tcPr>
          <w:p>
            <w:pPr>
              <w:spacing w:after="0"/>
            </w:pPr>
            <w:r>
              <w:rPr>
                <w:rFonts w:ascii="Arial" w:hAnsi="Arial" w:eastAsia="Arial"/>
                <w:b w:val="0"/>
                <w:i w:val="0"/>
                <w:color w:val="1F2328"/>
                <w:sz w:val="18"/>
              </w:rPr>
              <w:t>52%</w:t>
            </w:r>
          </w:p>
        </w:tc>
        <w:tc>
          <w:tcPr>
            <w:tcW w:type="dxa" w:w="2353"/>
          </w:tcPr>
          <w:p>
            <w:pPr>
              <w:spacing w:after="0"/>
            </w:pPr>
            <w:r>
              <w:rPr>
                <w:rFonts w:ascii="Arial" w:hAnsi="Arial" w:eastAsia="Arial"/>
                <w:b w:val="0"/>
                <w:i w:val="0"/>
                <w:color w:val="1F2328"/>
                <w:sz w:val="18"/>
              </w:rPr>
              <w:t>44%</w:t>
            </w:r>
          </w:p>
        </w:tc>
      </w:tr>
      <w:tr>
        <w:tc>
          <w:tcPr>
            <w:tcW w:type="dxa" w:w="2353"/>
          </w:tcPr>
          <w:p>
            <w:pPr>
              <w:spacing w:after="0"/>
            </w:pPr>
            <w:r>
              <w:rPr>
                <w:rFonts w:ascii="Arial" w:hAnsi="Arial" w:eastAsia="Arial"/>
                <w:b w:val="0"/>
                <w:i w:val="0"/>
                <w:color w:val="1F2328"/>
                <w:sz w:val="18"/>
              </w:rPr>
              <w:t>Samsung</w:t>
            </w:r>
          </w:p>
        </w:tc>
        <w:tc>
          <w:tcPr>
            <w:tcW w:type="dxa" w:w="2353"/>
          </w:tcPr>
          <w:p>
            <w:pPr>
              <w:spacing w:after="0"/>
            </w:pPr>
            <w:r>
              <w:rPr>
                <w:rFonts w:ascii="Arial" w:hAnsi="Arial" w:eastAsia="Arial"/>
                <w:b w:val="0"/>
                <w:i w:val="0"/>
                <w:color w:val="1F2328"/>
                <w:sz w:val="18"/>
              </w:rPr>
              <w:t>35.1%</w:t>
            </w:r>
          </w:p>
        </w:tc>
        <w:tc>
          <w:tcPr>
            <w:tcW w:type="dxa" w:w="2353"/>
          </w:tcPr>
          <w:p>
            <w:pPr>
              <w:spacing w:after="0"/>
            </w:pPr>
            <w:r>
              <w:rPr>
                <w:rFonts w:ascii="Arial" w:hAnsi="Arial" w:eastAsia="Arial"/>
                <w:b w:val="0"/>
                <w:i w:val="0"/>
                <w:color w:val="1F2328"/>
                <w:sz w:val="18"/>
              </w:rPr>
              <w:t>61%</w:t>
            </w:r>
          </w:p>
        </w:tc>
        <w:tc>
          <w:tcPr>
            <w:tcW w:type="dxa" w:w="2353"/>
          </w:tcPr>
          <w:p>
            <w:pPr>
              <w:spacing w:after="0"/>
            </w:pPr>
            <w:r>
              <w:rPr>
                <w:rFonts w:ascii="Arial" w:hAnsi="Arial" w:eastAsia="Arial"/>
                <w:b w:val="0"/>
                <w:i w:val="0"/>
                <w:color w:val="1F2328"/>
                <w:sz w:val="18"/>
              </w:rPr>
              <w:t>38%</w:t>
            </w:r>
          </w:p>
        </w:tc>
      </w:tr>
      <w:tr>
        <w:tc>
          <w:tcPr>
            <w:tcW w:type="dxa" w:w="2353"/>
          </w:tcPr>
          <w:p>
            <w:pPr>
              <w:spacing w:after="0"/>
            </w:pPr>
            <w:r>
              <w:rPr>
                <w:rFonts w:ascii="Arial" w:hAnsi="Arial" w:eastAsia="Arial"/>
                <w:b w:val="0"/>
                <w:i w:val="0"/>
                <w:color w:val="1F2328"/>
                <w:sz w:val="18"/>
              </w:rPr>
              <w:t>Xiaomi</w:t>
            </w:r>
          </w:p>
        </w:tc>
        <w:tc>
          <w:tcPr>
            <w:tcW w:type="dxa" w:w="2353"/>
          </w:tcPr>
          <w:p>
            <w:pPr>
              <w:spacing w:after="0"/>
            </w:pPr>
            <w:r>
              <w:rPr>
                <w:rFonts w:ascii="Arial" w:hAnsi="Arial" w:eastAsia="Arial"/>
                <w:b w:val="0"/>
                <w:i w:val="0"/>
                <w:color w:val="1F2328"/>
                <w:sz w:val="18"/>
              </w:rPr>
              <w:t>4.1%</w:t>
            </w:r>
          </w:p>
        </w:tc>
        <w:tc>
          <w:tcPr>
            <w:tcW w:type="dxa" w:w="2353"/>
          </w:tcPr>
          <w:p>
            <w:pPr>
              <w:spacing w:after="0"/>
            </w:pPr>
            <w:r>
              <w:rPr>
                <w:rFonts w:ascii="Arial" w:hAnsi="Arial" w:eastAsia="Arial"/>
                <w:b w:val="0"/>
                <w:i w:val="0"/>
                <w:color w:val="1F2328"/>
                <w:sz w:val="18"/>
              </w:rPr>
              <w:t>18%</w:t>
            </w:r>
          </w:p>
        </w:tc>
        <w:tc>
          <w:tcPr>
            <w:tcW w:type="dxa" w:w="2353"/>
          </w:tcPr>
          <w:p>
            <w:pPr>
              <w:spacing w:after="0"/>
            </w:pPr>
            <w:r>
              <w:rPr>
                <w:rFonts w:ascii="Arial" w:hAnsi="Arial" w:eastAsia="Arial"/>
                <w:b w:val="0"/>
                <w:i w:val="0"/>
                <w:color w:val="1F2328"/>
                <w:sz w:val="18"/>
              </w:rPr>
              <w:t>14%</w:t>
            </w:r>
          </w:p>
        </w:tc>
      </w:tr>
      <w:tr>
        <w:tc>
          <w:tcPr>
            <w:tcW w:type="dxa" w:w="2353"/>
          </w:tcPr>
          <w:p>
            <w:pPr>
              <w:spacing w:after="0"/>
            </w:pPr>
            <w:r>
              <w:rPr>
                <w:rFonts w:ascii="Arial" w:hAnsi="Arial" w:eastAsia="Arial"/>
                <w:b w:val="0"/>
                <w:i w:val="0"/>
                <w:color w:val="1F2328"/>
                <w:sz w:val="18"/>
              </w:rPr>
              <w:t>Google</w:t>
            </w:r>
          </w:p>
        </w:tc>
        <w:tc>
          <w:tcPr>
            <w:tcW w:type="dxa" w:w="2353"/>
          </w:tcPr>
          <w:p>
            <w:pPr>
              <w:spacing w:after="0"/>
            </w:pPr>
            <w:r>
              <w:rPr>
                <w:rFonts w:ascii="Arial" w:hAnsi="Arial" w:eastAsia="Arial"/>
                <w:b w:val="0"/>
                <w:i w:val="0"/>
                <w:color w:val="1F2328"/>
                <w:sz w:val="18"/>
              </w:rPr>
              <w:t>3.8%</w:t>
            </w:r>
          </w:p>
        </w:tc>
        <w:tc>
          <w:tcPr>
            <w:tcW w:type="dxa" w:w="2353"/>
          </w:tcPr>
          <w:p>
            <w:pPr>
              <w:spacing w:after="0"/>
            </w:pPr>
            <w:r>
              <w:rPr>
                <w:rFonts w:ascii="Arial" w:hAnsi="Arial" w:eastAsia="Arial"/>
                <w:b w:val="0"/>
                <w:i w:val="0"/>
                <w:color w:val="1F2328"/>
                <w:sz w:val="18"/>
              </w:rPr>
              <w:t>26%</w:t>
            </w:r>
          </w:p>
        </w:tc>
        <w:tc>
          <w:tcPr>
            <w:tcW w:type="dxa" w:w="2353"/>
          </w:tcPr>
          <w:p>
            <w:pPr>
              <w:spacing w:after="0"/>
            </w:pPr>
            <w:r>
              <w:rPr>
                <w:rFonts w:ascii="Arial" w:hAnsi="Arial" w:eastAsia="Arial"/>
                <w:b w:val="0"/>
                <w:i w:val="0"/>
                <w:color w:val="1F2328"/>
                <w:sz w:val="18"/>
              </w:rPr>
              <w:t>23%</w:t>
            </w:r>
          </w:p>
        </w:tc>
      </w:tr>
      <w:tr>
        <w:tc>
          <w:tcPr>
            <w:tcW w:type="dxa" w:w="2353"/>
          </w:tcPr>
          <w:p>
            <w:pPr>
              <w:spacing w:after="0"/>
            </w:pPr>
            <w:r>
              <w:rPr>
                <w:rFonts w:ascii="Arial" w:hAnsi="Arial" w:eastAsia="Arial"/>
                <w:b w:val="0"/>
                <w:i w:val="0"/>
                <w:color w:val="1F2328"/>
                <w:sz w:val="18"/>
              </w:rPr>
              <w:t>Motorola</w:t>
            </w:r>
          </w:p>
        </w:tc>
        <w:tc>
          <w:tcPr>
            <w:tcW w:type="dxa" w:w="2353"/>
          </w:tcPr>
          <w:p>
            <w:pPr>
              <w:spacing w:after="0"/>
            </w:pPr>
            <w:r>
              <w:rPr>
                <w:rFonts w:ascii="Arial" w:hAnsi="Arial" w:eastAsia="Arial"/>
                <w:b w:val="0"/>
                <w:i w:val="0"/>
                <w:color w:val="1F2328"/>
                <w:sz w:val="18"/>
              </w:rPr>
              <w:t>3.4%</w:t>
            </w:r>
          </w:p>
        </w:tc>
        <w:tc>
          <w:tcPr>
            <w:tcW w:type="dxa" w:w="2353"/>
          </w:tcPr>
          <w:p>
            <w:pPr>
              <w:spacing w:after="0"/>
            </w:pPr>
            <w:r>
              <w:rPr>
                <w:rFonts w:ascii="Arial" w:hAnsi="Arial" w:eastAsia="Arial"/>
                <w:b w:val="0"/>
                <w:i w:val="0"/>
                <w:color w:val="1F2328"/>
                <w:sz w:val="18"/>
              </w:rPr>
              <w:t>21%</w:t>
            </w:r>
          </w:p>
        </w:tc>
        <w:tc>
          <w:tcPr>
            <w:tcW w:type="dxa" w:w="2353"/>
          </w:tcPr>
          <w:p>
            <w:pPr>
              <w:spacing w:after="0"/>
            </w:pPr>
            <w:r>
              <w:rPr>
                <w:rFonts w:ascii="Arial" w:hAnsi="Arial" w:eastAsia="Arial"/>
                <w:b w:val="0"/>
                <w:i w:val="0"/>
                <w:color w:val="1F2328"/>
                <w:sz w:val="18"/>
              </w:rPr>
              <w:t>19%</w:t>
            </w:r>
          </w:p>
        </w:tc>
      </w:tr>
      <w:tr>
        <w:tc>
          <w:tcPr>
            <w:tcW w:type="dxa" w:w="2353"/>
          </w:tcPr>
          <w:p>
            <w:pPr>
              <w:spacing w:after="0"/>
            </w:pPr>
            <w:r>
              <w:rPr>
                <w:rFonts w:ascii="Arial" w:hAnsi="Arial" w:eastAsia="Arial"/>
                <w:b w:val="0"/>
                <w:i w:val="0"/>
                <w:color w:val="1F2328"/>
                <w:sz w:val="18"/>
              </w:rPr>
              <w:t>Fairphone</w:t>
            </w:r>
          </w:p>
        </w:tc>
        <w:tc>
          <w:tcPr>
            <w:tcW w:type="dxa" w:w="2353"/>
          </w:tcPr>
          <w:p>
            <w:pPr>
              <w:spacing w:after="0"/>
            </w:pPr>
            <w:r>
              <w:rPr>
                <w:rFonts w:ascii="Arial" w:hAnsi="Arial" w:eastAsia="Arial"/>
                <w:b w:val="0"/>
                <w:i w:val="0"/>
                <w:color w:val="1F2328"/>
                <w:sz w:val="18"/>
              </w:rPr>
              <w:t>under 1%</w:t>
            </w:r>
          </w:p>
        </w:tc>
        <w:tc>
          <w:tcPr>
            <w:tcW w:type="dxa" w:w="2353"/>
          </w:tcPr>
          <w:p>
            <w:pPr>
              <w:spacing w:after="0"/>
            </w:pPr>
            <w:r>
              <w:rPr>
                <w:rFonts w:ascii="Arial" w:hAnsi="Arial" w:eastAsia="Arial"/>
                <w:b w:val="0"/>
                <w:i w:val="0"/>
                <w:color w:val="1F2328"/>
                <w:sz w:val="18"/>
              </w:rPr>
              <w:t>9%</w:t>
            </w:r>
          </w:p>
        </w:tc>
        <w:tc>
          <w:tcPr>
            <w:tcW w:type="dxa" w:w="2353"/>
          </w:tcPr>
          <w:p>
            <w:pPr>
              <w:spacing w:after="0"/>
            </w:pPr>
            <w:r>
              <w:rPr>
                <w:rFonts w:ascii="Arial" w:hAnsi="Arial" w:eastAsia="Arial"/>
                <w:b w:val="0"/>
                <w:i w:val="0"/>
                <w:color w:val="1F2328"/>
                <w:sz w:val="18"/>
              </w:rPr>
              <w:t>47%</w:t>
            </w:r>
          </w:p>
        </w:tc>
      </w:tr>
      <w:tr>
        <w:tc>
          <w:tcPr>
            <w:tcW w:type="dxa" w:w="2353"/>
          </w:tcPr>
          <w:p>
            <w:pPr>
              <w:spacing w:after="0"/>
            </w:pPr>
            <w:r>
              <w:rPr>
                <w:rFonts w:ascii="Arial" w:hAnsi="Arial" w:eastAsia="Arial"/>
                <w:b w:val="0"/>
                <w:i w:val="0"/>
                <w:color w:val="1F2328"/>
                <w:sz w:val="18"/>
              </w:rPr>
              <w:t>HMD</w:t>
            </w:r>
          </w:p>
        </w:tc>
        <w:tc>
          <w:tcPr>
            <w:tcW w:type="dxa" w:w="2353"/>
          </w:tcPr>
          <w:p>
            <w:pPr>
              <w:spacing w:after="0"/>
            </w:pPr>
            <w:r>
              <w:rPr>
                <w:rFonts w:ascii="Arial" w:hAnsi="Arial" w:eastAsia="Arial"/>
                <w:b w:val="0"/>
                <w:i w:val="0"/>
                <w:color w:val="1F2328"/>
                <w:sz w:val="18"/>
              </w:rPr>
              <w:t>under 1%</w:t>
            </w:r>
          </w:p>
        </w:tc>
        <w:tc>
          <w:tcPr>
            <w:tcW w:type="dxa" w:w="2353"/>
          </w:tcPr>
          <w:p>
            <w:pPr>
              <w:spacing w:after="0"/>
            </w:pPr>
            <w:r>
              <w:rPr>
                <w:rFonts w:ascii="Arial" w:hAnsi="Arial" w:eastAsia="Arial"/>
                <w:b w:val="0"/>
                <w:i w:val="0"/>
                <w:color w:val="1F2328"/>
                <w:sz w:val="18"/>
              </w:rPr>
              <w:t>6%</w:t>
            </w:r>
          </w:p>
        </w:tc>
        <w:tc>
          <w:tcPr>
            <w:tcW w:type="dxa" w:w="2353"/>
          </w:tcPr>
          <w:p>
            <w:pPr>
              <w:spacing w:after="0"/>
            </w:pPr>
            <w:r>
              <w:rPr>
                <w:rFonts w:ascii="Arial" w:hAnsi="Arial" w:eastAsia="Arial"/>
                <w:b w:val="0"/>
                <w:i w:val="0"/>
                <w:color w:val="1F2328"/>
                <w:sz w:val="18"/>
              </w:rPr>
              <w:t>31%</w:t>
            </w:r>
          </w:p>
        </w:tc>
      </w:tr>
    </w:tbl>
    <w:p>
      <w:pPr>
        <w:spacing w:after="160" w:before="40" w:line="276" w:lineRule="auto"/>
      </w:pPr>
      <w:r>
        <w:rPr>
          <w:rFonts w:ascii="Arial" w:hAnsi="Arial" w:eastAsia="Arial"/>
          <w:b w:val="0"/>
          <w:i/>
          <w:color w:val="5F666D"/>
          <w:sz w:val="16"/>
        </w:rPr>
        <w:t>Share: StatCounter UK vendor share, September 2026. Consideration and associations: Nokia UK Phone Buyer Study, illustrative.</w:t>
      </w:r>
    </w:p>
    <w:p>
      <w:pPr>
        <w:spacing w:after="120" w:before="0" w:line="276" w:lineRule="auto"/>
      </w:pPr>
      <w:r>
        <w:rPr>
          <w:rFonts w:ascii="Arial" w:hAnsi="Arial" w:eastAsia="Arial"/>
          <w:b w:val="0"/>
          <w:i w:val="0"/>
          <w:color w:val="1F2328"/>
          <w:sz w:val="20"/>
        </w:rPr>
        <w:t>Fairphone shows that “lasts” is believable from a small brand, but its consideration stays low because buyers see it as a compromise. Samsung has the strongest longevity offer on paper and gets little credit for it.</w:t>
      </w:r>
    </w:p>
    <w:p>
      <w:pPr>
        <w:spacing w:after="80" w:before="240" w:line="276" w:lineRule="auto"/>
        <w:pBdr>
          <w:bottom w:val="single" w:sz="4" w:color="9AA0A6"/>
        </w:pBdr>
      </w:pPr>
      <w:r>
        <w:rPr>
          <w:rFonts w:ascii="Arial" w:hAnsi="Arial" w:eastAsia="Arial"/>
          <w:b/>
          <w:i w:val="0"/>
          <w:color w:val="1F2328"/>
          <w:sz w:val="26"/>
        </w:rPr>
        <w:t>Category conventions</w:t>
      </w:r>
    </w:p>
    <w:tbl>
      <w:tblPr>
        <w:tblW w:type="auto" w:w="0"/>
        <w:tblLook w:firstColumn="1" w:firstRow="1" w:lastColumn="0" w:lastRow="0" w:noHBand="0" w:noVBand="1" w:val="04A0"/>
        <w:jc w:val="left"/>
        <w:tblBorders>
          <w:top w:val="single" w:sz="4" w:color="BFC4C9"/>
          <w:left w:val="single" w:sz="4" w:color="BFC4C9"/>
          <w:bottom w:val="single" w:sz="4" w:color="BFC4C9"/>
          <w:right w:val="single" w:sz="4" w:color="BFC4C9"/>
          <w:insideH w:val="single" w:sz="4" w:color="BFC4C9"/>
          <w:insideV w:val="single" w:sz="4" w:color="BFC4C9"/>
        </w:tblBorders>
        <w:tblCellMar>
          <w:top w:w="60" w:type="dxa"/>
          <w:left w:w="100" w:type="dxa"/>
          <w:bottom w:w="60" w:type="dxa"/>
          <w:right w:w="100" w:type="dxa"/>
        </w:tblCellMar>
      </w:tblPr>
      <w:tblGrid>
        <w:gridCol w:w="3137"/>
        <w:gridCol w:w="3137"/>
        <w:gridCol w:w="3137"/>
      </w:tblGrid>
      <w:tr>
        <w:tc>
          <w:tcPr>
            <w:tcW w:type="dxa" w:w="3137"/>
            <w:shd w:val="clear" w:color="auto" w:fill="E7E9EB"/>
          </w:tcPr>
          <w:p>
            <w:pPr>
              <w:spacing w:after="0"/>
            </w:pPr>
            <w:r>
              <w:rPr>
                <w:rFonts w:ascii="Arial" w:hAnsi="Arial" w:eastAsia="Arial"/>
                <w:b/>
                <w:i w:val="0"/>
                <w:color w:val="1F2328"/>
                <w:sz w:val="18"/>
              </w:rPr>
              <w:t>Convention</w:t>
            </w:r>
          </w:p>
        </w:tc>
        <w:tc>
          <w:tcPr>
            <w:tcW w:type="dxa" w:w="3137"/>
            <w:shd w:val="clear" w:color="auto" w:fill="E7E9EB"/>
          </w:tcPr>
          <w:p>
            <w:pPr>
              <w:spacing w:after="0"/>
            </w:pPr>
            <w:r>
              <w:rPr>
                <w:rFonts w:ascii="Arial" w:hAnsi="Arial" w:eastAsia="Arial"/>
                <w:b/>
                <w:i w:val="0"/>
                <w:color w:val="1F2328"/>
                <w:sz w:val="18"/>
              </w:rPr>
              <w:t>Used by</w:t>
            </w:r>
          </w:p>
        </w:tc>
        <w:tc>
          <w:tcPr>
            <w:tcW w:type="dxa" w:w="3137"/>
            <w:shd w:val="clear" w:color="auto" w:fill="E7E9EB"/>
          </w:tcPr>
          <w:p>
            <w:pPr>
              <w:spacing w:after="0"/>
            </w:pPr>
            <w:r>
              <w:rPr>
                <w:rFonts w:ascii="Arial" w:hAnsi="Arial" w:eastAsia="Arial"/>
                <w:b/>
                <w:i w:val="0"/>
                <w:color w:val="1F2328"/>
                <w:sz w:val="18"/>
              </w:rPr>
              <w:t>Typical message</w:t>
            </w:r>
          </w:p>
        </w:tc>
      </w:tr>
      <w:tr>
        <w:tc>
          <w:tcPr>
            <w:tcW w:type="dxa" w:w="3137"/>
          </w:tcPr>
          <w:p>
            <w:pPr>
              <w:spacing w:after="0"/>
            </w:pPr>
            <w:r>
              <w:rPr>
                <w:rFonts w:ascii="Arial" w:hAnsi="Arial" w:eastAsia="Arial"/>
                <w:b w:val="0"/>
                <w:i w:val="0"/>
                <w:color w:val="1F2328"/>
                <w:sz w:val="18"/>
              </w:rPr>
              <w:t>The camera leads</w:t>
            </w:r>
          </w:p>
        </w:tc>
        <w:tc>
          <w:tcPr>
            <w:tcW w:type="dxa" w:w="3137"/>
          </w:tcPr>
          <w:p>
            <w:pPr>
              <w:spacing w:after="0"/>
            </w:pPr>
            <w:r>
              <w:rPr>
                <w:rFonts w:ascii="Arial" w:hAnsi="Arial" w:eastAsia="Arial"/>
                <w:b w:val="0"/>
                <w:i w:val="0"/>
                <w:color w:val="1F2328"/>
                <w:sz w:val="18"/>
              </w:rPr>
              <w:t>7 of 8</w:t>
            </w:r>
          </w:p>
        </w:tc>
        <w:tc>
          <w:tcPr>
            <w:tcW w:type="dxa" w:w="3137"/>
          </w:tcPr>
          <w:p>
            <w:pPr>
              <w:spacing w:after="0"/>
            </w:pPr>
            <w:r>
              <w:rPr>
                <w:rFonts w:ascii="Arial" w:hAnsi="Arial" w:eastAsia="Arial"/>
                <w:b w:val="0"/>
                <w:i w:val="0"/>
                <w:color w:val="1F2328"/>
                <w:sz w:val="18"/>
              </w:rPr>
              <w:t>Launch films and adverts open on photography</w:t>
            </w:r>
          </w:p>
        </w:tc>
      </w:tr>
      <w:tr>
        <w:tc>
          <w:tcPr>
            <w:tcW w:type="dxa" w:w="3137"/>
          </w:tcPr>
          <w:p>
            <w:pPr>
              <w:spacing w:after="0"/>
            </w:pPr>
            <w:r>
              <w:rPr>
                <w:rFonts w:ascii="Arial" w:hAnsi="Arial" w:eastAsia="Arial"/>
                <w:b w:val="0"/>
                <w:i w:val="0"/>
                <w:color w:val="1F2328"/>
                <w:sz w:val="18"/>
              </w:rPr>
              <w:t>AI features</w:t>
            </w:r>
          </w:p>
        </w:tc>
        <w:tc>
          <w:tcPr>
            <w:tcW w:type="dxa" w:w="3137"/>
          </w:tcPr>
          <w:p>
            <w:pPr>
              <w:spacing w:after="0"/>
            </w:pPr>
            <w:r>
              <w:rPr>
                <w:rFonts w:ascii="Arial" w:hAnsi="Arial" w:eastAsia="Arial"/>
                <w:b w:val="0"/>
                <w:i w:val="0"/>
                <w:color w:val="1F2328"/>
                <w:sz w:val="18"/>
              </w:rPr>
              <w:t>6 of 8</w:t>
            </w:r>
          </w:p>
        </w:tc>
        <w:tc>
          <w:tcPr>
            <w:tcW w:type="dxa" w:w="3137"/>
          </w:tcPr>
          <w:p>
            <w:pPr>
              <w:spacing w:after="0"/>
            </w:pPr>
            <w:r>
              <w:rPr>
                <w:rFonts w:ascii="Arial" w:hAnsi="Arial" w:eastAsia="Arial"/>
                <w:b w:val="0"/>
                <w:i w:val="0"/>
                <w:color w:val="1F2328"/>
                <w:sz w:val="18"/>
              </w:rPr>
              <w:t>“Your AI phone”; on-device assistants and photo editing</w:t>
            </w:r>
          </w:p>
        </w:tc>
      </w:tr>
      <w:tr>
        <w:tc>
          <w:tcPr>
            <w:tcW w:type="dxa" w:w="3137"/>
          </w:tcPr>
          <w:p>
            <w:pPr>
              <w:spacing w:after="0"/>
            </w:pPr>
            <w:r>
              <w:rPr>
                <w:rFonts w:ascii="Arial" w:hAnsi="Arial" w:eastAsia="Arial"/>
                <w:b w:val="0"/>
                <w:i w:val="0"/>
                <w:color w:val="1F2328"/>
                <w:sz w:val="18"/>
              </w:rPr>
              <w:t>Yearly upgrade cycle</w:t>
            </w:r>
          </w:p>
        </w:tc>
        <w:tc>
          <w:tcPr>
            <w:tcW w:type="dxa" w:w="3137"/>
          </w:tcPr>
          <w:p>
            <w:pPr>
              <w:spacing w:after="0"/>
            </w:pPr>
            <w:r>
              <w:rPr>
                <w:rFonts w:ascii="Arial" w:hAnsi="Arial" w:eastAsia="Arial"/>
                <w:b w:val="0"/>
                <w:i w:val="0"/>
                <w:color w:val="1F2328"/>
                <w:sz w:val="18"/>
              </w:rPr>
              <w:t>8 of 8</w:t>
            </w:r>
          </w:p>
        </w:tc>
        <w:tc>
          <w:tcPr>
            <w:tcW w:type="dxa" w:w="3137"/>
          </w:tcPr>
          <w:p>
            <w:pPr>
              <w:spacing w:after="0"/>
            </w:pPr>
            <w:r>
              <w:rPr>
                <w:rFonts w:ascii="Arial" w:hAnsi="Arial" w:eastAsia="Arial"/>
                <w:b w:val="0"/>
                <w:i w:val="0"/>
                <w:color w:val="1F2328"/>
                <w:sz w:val="18"/>
              </w:rPr>
              <w:t>A new model every year, trade-in offers to move up</w:t>
            </w:r>
          </w:p>
        </w:tc>
      </w:tr>
      <w:tr>
        <w:tc>
          <w:tcPr>
            <w:tcW w:type="dxa" w:w="3137"/>
          </w:tcPr>
          <w:p>
            <w:pPr>
              <w:spacing w:after="0"/>
            </w:pPr>
            <w:r>
              <w:rPr>
                <w:rFonts w:ascii="Arial" w:hAnsi="Arial" w:eastAsia="Arial"/>
                <w:b w:val="0"/>
                <w:i w:val="0"/>
                <w:color w:val="1F2328"/>
                <w:sz w:val="18"/>
              </w:rPr>
              <w:t>Longevity as a footnote</w:t>
            </w:r>
          </w:p>
        </w:tc>
        <w:tc>
          <w:tcPr>
            <w:tcW w:type="dxa" w:w="3137"/>
          </w:tcPr>
          <w:p>
            <w:pPr>
              <w:spacing w:after="0"/>
            </w:pPr>
            <w:r>
              <w:rPr>
                <w:rFonts w:ascii="Arial" w:hAnsi="Arial" w:eastAsia="Arial"/>
                <w:b w:val="0"/>
                <w:i w:val="0"/>
                <w:color w:val="1F2328"/>
                <w:sz w:val="18"/>
              </w:rPr>
              <w:t>5 of 8</w:t>
            </w:r>
          </w:p>
        </w:tc>
        <w:tc>
          <w:tcPr>
            <w:tcW w:type="dxa" w:w="3137"/>
          </w:tcPr>
          <w:p>
            <w:pPr>
              <w:spacing w:after="0"/>
            </w:pPr>
            <w:r>
              <w:rPr>
                <w:rFonts w:ascii="Arial" w:hAnsi="Arial" w:eastAsia="Arial"/>
                <w:b w:val="0"/>
                <w:i w:val="0"/>
                <w:color w:val="1F2328"/>
                <w:sz w:val="18"/>
              </w:rPr>
              <w:t>Update years listed in specifications, rarely in advertising</w:t>
            </w:r>
          </w:p>
        </w:tc>
      </w:tr>
    </w:tbl>
    <w:p>
      <w:pPr>
        <w:spacing w:after="120" w:before="0" w:line="276" w:lineRule="auto"/>
      </w:pPr>
    </w:p>
    <w:p>
      <w:pPr>
        <w:spacing w:after="120" w:before="0" w:line="276" w:lineRule="auto"/>
      </w:pPr>
      <w:r>
        <w:rPr>
          <w:rFonts w:ascii="Arial" w:hAnsi="Arial" w:eastAsia="Arial"/>
          <w:b w:val="0"/>
          <w:i w:val="0"/>
          <w:color w:val="1F2328"/>
          <w:sz w:val="20"/>
        </w:rPr>
        <w:t>The category sells the new. Even brands that promise seven years of updates advertise this year’s camera.</w:t>
      </w:r>
    </w:p>
    <w:p>
      <w:pPr>
        <w:spacing w:after="80" w:before="240" w:line="276" w:lineRule="auto"/>
        <w:pBdr>
          <w:bottom w:val="single" w:sz="4" w:color="9AA0A6"/>
        </w:pBdr>
      </w:pPr>
      <w:r>
        <w:rPr>
          <w:rFonts w:ascii="Arial" w:hAnsi="Arial" w:eastAsia="Arial"/>
          <w:b/>
          <w:i w:val="0"/>
          <w:color w:val="1F2328"/>
          <w:sz w:val="26"/>
        </w:rPr>
        <w:t>Whitespace</w:t>
      </w:r>
    </w:p>
    <w:p>
      <w:pPr>
        <w:pStyle w:val="ListBullet"/>
        <w:spacing w:after="60"/>
      </w:pPr>
      <w:r>
        <w:rPr>
          <w:rFonts w:ascii="Arial" w:hAnsi="Arial" w:eastAsia="Arial"/>
          <w:b/>
          <w:i w:val="0"/>
          <w:color w:val="1F2328"/>
          <w:sz w:val="20"/>
        </w:rPr>
        <w:t>Lasting as the brand idea.</w:t>
      </w:r>
      <w:r>
        <w:rPr>
          <w:rFonts w:ascii="Arial" w:hAnsi="Arial" w:eastAsia="Arial"/>
          <w:b w:val="0"/>
          <w:i w:val="0"/>
          <w:color w:val="1F2328"/>
          <w:sz w:val="20"/>
        </w:rPr>
        <w:t xml:space="preserve"> Long support exists across the market; no brand at mid-premium prices builds its whole proposition around keeping a phone for five years.</w:t>
      </w:r>
    </w:p>
    <w:p>
      <w:pPr>
        <w:pStyle w:val="ListBullet"/>
        <w:spacing w:after="60"/>
      </w:pPr>
      <w:r>
        <w:rPr>
          <w:rFonts w:ascii="Arial" w:hAnsi="Arial" w:eastAsia="Arial"/>
          <w:b/>
          <w:i w:val="0"/>
          <w:color w:val="1F2328"/>
          <w:sz w:val="20"/>
        </w:rPr>
        <w:t>Durability that looks modern.</w:t>
      </w:r>
      <w:r>
        <w:rPr>
          <w:rFonts w:ascii="Arial" w:hAnsi="Arial" w:eastAsia="Arial"/>
          <w:b w:val="0"/>
          <w:i w:val="0"/>
          <w:color w:val="1F2328"/>
          <w:sz w:val="20"/>
        </w:rPr>
        <w:t xml:space="preserve"> Buyers link “durable” with rugged or basic. A phone that lasts and is reviewed alongside flagships for design is unclaimed.</w:t>
      </w:r>
    </w:p>
    <w:p>
      <w:pPr>
        <w:pStyle w:val="ListBullet"/>
        <w:spacing w:after="60"/>
      </w:pPr>
      <w:r>
        <w:rPr>
          <w:rFonts w:ascii="Arial" w:hAnsi="Arial" w:eastAsia="Arial"/>
          <w:b/>
          <w:i w:val="0"/>
          <w:color w:val="1F2328"/>
          <w:sz w:val="20"/>
        </w:rPr>
        <w:t>Repair as a service.</w:t>
      </w:r>
      <w:r>
        <w:rPr>
          <w:rFonts w:ascii="Arial" w:hAnsi="Arial" w:eastAsia="Arial"/>
          <w:b w:val="0"/>
          <w:i w:val="0"/>
          <w:color w:val="1F2328"/>
          <w:sz w:val="20"/>
        </w:rPr>
        <w:t xml:space="preserve"> Fairphone and HMD ask owners to repair their own phones. Lifespan Pragmatists want someone else to fix it, quickly, on the high street.</w:t>
      </w:r>
    </w:p>
    <w:p>
      <w:pPr>
        <w:pStyle w:val="ListBullet"/>
        <w:spacing w:after="60"/>
      </w:pPr>
      <w:r>
        <w:rPr>
          <w:rFonts w:ascii="Arial" w:hAnsi="Arial" w:eastAsia="Arial"/>
          <w:b/>
          <w:i w:val="0"/>
          <w:color w:val="1F2328"/>
          <w:sz w:val="20"/>
        </w:rPr>
        <w:t>Earned trust over novelty.</w:t>
      </w:r>
      <w:r>
        <w:rPr>
          <w:rFonts w:ascii="Arial" w:hAnsi="Arial" w:eastAsia="Arial"/>
          <w:b w:val="0"/>
          <w:i w:val="0"/>
          <w:color w:val="1F2328"/>
          <w:sz w:val="20"/>
        </w:rPr>
        <w:t xml:space="preserve"> Nokia’s reliability association (63%) is higher than Apple’s (58%). No other brand outside the top two has a trust lead it could build on.</w:t>
      </w:r>
    </w:p>
    <w:p>
      <w:pPr>
        <w:spacing w:after="40" w:before="0" w:line="276" w:lineRule="auto"/>
      </w:pPr>
    </w:p>
    <w:p>
      <w:pPr>
        <w:spacing w:after="80" w:before="240" w:line="276" w:lineRule="auto"/>
        <w:pBdr>
          <w:bottom w:val="single" w:sz="4" w:color="9AA0A6"/>
        </w:pBdr>
      </w:pPr>
      <w:r>
        <w:rPr>
          <w:rFonts w:ascii="Arial" w:hAnsi="Arial" w:eastAsia="Arial"/>
          <w:b/>
          <w:i w:val="0"/>
          <w:color w:val="1F2328"/>
          <w:sz w:val="26"/>
        </w:rPr>
        <w:t>Key findings</w:t>
      </w:r>
    </w:p>
    <w:p>
      <w:pPr>
        <w:pStyle w:val="ListBullet"/>
        <w:spacing w:after="60"/>
      </w:pPr>
      <w:r>
        <w:rPr>
          <w:rFonts w:ascii="Arial" w:hAnsi="Arial" w:eastAsia="Arial"/>
          <w:b w:val="0"/>
          <w:i w:val="0"/>
          <w:color w:val="1F2328"/>
          <w:sz w:val="20"/>
        </w:rPr>
        <w:t>The market competes on what is new. A brand that competes on what lasts would stand apart in every advertising break.</w:t>
      </w:r>
    </w:p>
    <w:p>
      <w:pPr>
        <w:pStyle w:val="ListBullet"/>
        <w:spacing w:after="60"/>
      </w:pPr>
      <w:r>
        <w:rPr>
          <w:rFonts w:ascii="Arial" w:hAnsi="Arial" w:eastAsia="Arial"/>
          <w:b w:val="0"/>
          <w:i w:val="0"/>
          <w:color w:val="1F2328"/>
          <w:sz w:val="20"/>
        </w:rPr>
        <w:t>Nokia’s rivals for a lasting-phone buyer are Samsung and Fairphone. Samsung has the longest promise and gets little credit for it. Fairphone has the reputation, and buyers see it as a compromise.</w:t>
      </w:r>
    </w:p>
    <w:p>
      <w:pPr>
        <w:pStyle w:val="ListBullet"/>
        <w:spacing w:after="60"/>
      </w:pPr>
      <w:r>
        <w:rPr>
          <w:rFonts w:ascii="Arial" w:hAnsi="Arial" w:eastAsia="Arial"/>
          <w:b w:val="0"/>
          <w:i w:val="0"/>
          <w:color w:val="1F2328"/>
          <w:sz w:val="20"/>
        </w:rPr>
        <w:t>Any claim to longevity needs a guarantee behind it. Seven-year software support is already standard on flagships, so software alone will not differentiate.</w:t>
      </w:r>
    </w:p>
    <w:p>
      <w:pPr>
        <w:spacing w:after="40" w:before="0" w:line="276" w:lineRule="auto"/>
      </w:pP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left"/>
    </w:pPr>
    <w:r>
      <w:rPr>
        <w:rFonts w:ascii="Arial" w:hAnsi="Arial" w:eastAsia="Arial"/>
        <w:b w:val="0"/>
        <w:i w:val="0"/>
        <w:color w:val="5F666D"/>
        <w:sz w:val="14"/>
      </w:rPr>
      <w:t>Illustrative case study. Not produced by, affiliated with or endorsed by Nokia Corporation. Market facts are drawn from public sources; research figures, verbatims and names are illustrative.</w:t>
    </w:r>
  </w:p>
  <w:p>
    <w:pPr>
      <w:jc w:val="right"/>
    </w:pPr>
    <w:r>
      <w:rPr>
        <w:rFonts w:ascii="Arial" w:hAnsi="Arial" w:eastAsia="Arial"/>
        <w:b w:val="0"/>
        <w:i w:val="0"/>
        <w:color w:val="5F666D"/>
        <w:sz w:val="16"/>
      </w:rPr>
      <w:t xml:space="preserve">Page </w:t>
    </w:r>
    <w:r>
      <w:rPr>
        <w:rFonts w:ascii="Arial" w:hAnsi="Arial"/>
        <w:color w:val="5F666D"/>
        <w:sz w:val="16"/>
      </w:rPr>
      <w:fldChar w:fldCharType="begin"/>
    </w:r>
    <w:r>
      <w:rPr>
        <w:rFonts w:ascii="Arial" w:hAnsi="Arial"/>
        <w:color w:val="5F666D"/>
        <w:sz w:val="16"/>
      </w:rPr>
      <w:instrText xml:space="preserve">PAGE</w:instrText>
    </w:r>
    <w:r>
      <w:rPr>
        <w:rFonts w:ascii="Arial" w:hAnsi="Arial"/>
        <w:color w:val="5F666D"/>
        <w:sz w:val="16"/>
      </w:rPr>
      <w:fldChar w:fldCharType="end"/>
    </w:r>
    <w:r>
      <w:rPr>
        <w:rFonts w:ascii="Arial" w:hAnsi="Arial" w:eastAsia="Arial"/>
        <w:b w:val="0"/>
        <w:i w:val="0"/>
        <w:color w:val="5F666D"/>
        <w:sz w:val="16"/>
      </w:rPr>
      <w:t xml:space="preserve"> of </w:t>
    </w:r>
    <w:r>
      <w:rPr>
        <w:rFonts w:ascii="Arial" w:hAnsi="Arial"/>
        <w:color w:val="5F666D"/>
        <w:sz w:val="16"/>
      </w:rPr>
      <w:fldChar w:fldCharType="begin"/>
    </w:r>
    <w:r>
      <w:rPr>
        <w:rFonts w:ascii="Arial" w:hAnsi="Arial"/>
        <w:color w:val="5F666D"/>
        <w:sz w:val="16"/>
      </w:rPr>
      <w:instrText xml:space="preserve">NUMPAGES</w:instrText>
    </w:r>
    <w:r>
      <w:rPr>
        <w:rFonts w:ascii="Arial" w:hAnsi="Arial"/>
        <w:color w:val="5F666D"/>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rial" w:hAnsi="Arial" w:eastAsia="Arial"/>
        <w:b/>
        <w:i w:val="0"/>
        <w:color w:val="5F666D"/>
        <w:sz w:val="15"/>
      </w:rPr>
      <w:t>ILLUSTRATIVE CASE STUDY</w:t>
    </w:r>
    <w:r>
      <w:rPr>
        <w:rFonts w:ascii="Arial" w:hAnsi="Arial" w:eastAsia="Arial"/>
        <w:b w:val="0"/>
        <w:i w:val="0"/>
        <w:color w:val="5F666D"/>
        <w:sz w:val="15"/>
      </w:rPr>
      <w:t xml:space="preserve">   |   Nokia | Brand strategy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Nokia would face in UK phones</dc:title>
  <dc:subject/>
  <dc:creator>Threader Technologies (illustrative case study)</dc:creator>
  <cp:keywords/>
  <dc:description>generated by python-docx</dc:description>
  <cp:lastModifiedBy/>
  <cp:revision>1</cp:revision>
  <dcterms:created xsi:type="dcterms:W3CDTF">2013-12-23T23:15:00Z</dcterms:created>
  <dcterms:modified xsi:type="dcterms:W3CDTF">2013-12-23T23:15:00Z</dcterms:modified>
  <cp:category/>
</cp:coreProperties>
</file>